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tl w:val="0"/>
        </w:rPr>
      </w:r>
    </w:p>
    <w:tbl>
      <w:tblPr>
        <w:tblStyle w:val="Table1"/>
        <w:tblpPr w:leftFromText="180" w:rightFromText="180" w:topFromText="0" w:bottomFromText="0" w:vertAnchor="text" w:horzAnchor="text" w:tblpX="0" w:tblpY="1"/>
        <w:tblW w:w="3339.0" w:type="dxa"/>
        <w:jc w:val="left"/>
        <w:tblLayout w:type="fixed"/>
        <w:tblLook w:val="0000"/>
      </w:tblPr>
      <w:tblGrid>
        <w:gridCol w:w="1639"/>
        <w:gridCol w:w="1700"/>
        <w:tblGridChange w:id="0">
          <w:tblGrid>
            <w:gridCol w:w="1639"/>
            <w:gridCol w:w="1700"/>
          </w:tblGrid>
        </w:tblGridChange>
      </w:tblGrid>
      <w:tr>
        <w:trPr>
          <w:cantSplit w:val="1"/>
          <w:tblHeader w:val="0"/>
        </w:trPr>
        <w:tc>
          <w:tcPr>
            <w:tcBorders>
              <w:top w:color="000000" w:space="0" w:sz="12" w:val="single"/>
              <w:left w:color="000000" w:space="0" w:sz="12" w:val="single"/>
            </w:tcBorders>
          </w:tcPr>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0" w:right="0" w:firstLine="0"/>
              <w:jc w:val="left"/>
              <w:rPr>
                <w:rFonts w:ascii="Times" w:cs="Times" w:eastAsia="Times" w:hAnsi="Times"/>
                <w:b w:val="0"/>
                <w:bCs w:val="0"/>
                <w:i w:val="0"/>
                <w:iCs w:val="0"/>
                <w:smallCaps w:val="0"/>
                <w:strike w:val="0"/>
                <w:color w:val="000000"/>
                <w:sz w:val="24"/>
                <w:szCs w:val="24"/>
                <w:u w:val="none"/>
                <w:shd w:fill="auto" w:val="clear"/>
                <w:vertAlign w:val="baseline"/>
              </w:rPr>
            </w:pPr>
            <w:r w:rsidDel="00000000" w:rsidR="00000000" w:rsidRPr="00000000">
              <w:rPr>
                <w:rFonts w:ascii="Times" w:cs="Times" w:eastAsia="Times" w:hAnsi="Times"/>
                <w:b w:val="0"/>
                <w:bCs w:val="0"/>
                <w:i w:val="0"/>
                <w:iCs w:val="0"/>
                <w:smallCaps w:val="0"/>
                <w:strike w:val="0"/>
                <w:color w:val="000000"/>
                <w:sz w:val="24"/>
                <w:szCs w:val="24"/>
                <w:u w:val="none"/>
                <w:shd w:fill="auto" w:val="clear"/>
                <w:vertAlign w:val="baseline"/>
              </w:rPr>
              <w:drawing>
                <wp:inline distB="0" distT="0" distL="0" distR="0">
                  <wp:extent cx="914400" cy="914400"/>
                  <wp:effectExtent b="0" l="0" r="0" t="0"/>
                  <wp:docPr id="8"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914400" cy="914400"/>
                          </a:xfrm>
                          <a:prstGeom prst="rect"/>
                          <a:ln/>
                        </pic:spPr>
                      </pic:pic>
                    </a:graphicData>
                  </a:graphic>
                </wp:inline>
              </w:drawing>
            </w:r>
            <w:r w:rsidDel="00000000" w:rsidR="00000000" w:rsidRPr="00000000">
              <w:rPr>
                <w:rtl w:val="0"/>
              </w:rPr>
            </w:r>
          </w:p>
        </w:tc>
        <w:tc>
          <w:tcPr>
            <w:tcBorders>
              <w:top w:color="000000" w:space="0" w:sz="12" w:val="single"/>
              <w:right w:color="000000" w:space="0" w:sz="12" w:val="single"/>
            </w:tcBorders>
          </w:tcPr>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120" w:line="240" w:lineRule="auto"/>
              <w:ind w:left="-142" w:right="0" w:firstLine="0"/>
              <w:jc w:val="center"/>
              <w:rPr>
                <w:rFonts w:ascii="Arimo" w:cs="Arimo" w:eastAsia="Arimo" w:hAnsi="Arimo"/>
                <w:b w:val="1"/>
                <w:bCs w:val="1"/>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Geochemistry</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1"/>
                <w:bCs w:val="1"/>
                <w:i w:val="0"/>
                <w:iCs w:val="0"/>
                <w:smallCaps w:val="0"/>
                <w:strike w:val="0"/>
                <w:color w:val="000000"/>
                <w:sz w:val="16"/>
                <w:szCs w:val="16"/>
                <w:u w:val="none"/>
                <w:shd w:fill="auto" w:val="clear"/>
                <w:vertAlign w:val="baseline"/>
                <w:rtl w:val="0"/>
              </w:rPr>
              <w:t xml:space="preserve">Group</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of the</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Mineralogical</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 Society</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and of the</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14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Geological</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60" w:before="0" w:line="240" w:lineRule="auto"/>
              <w:ind w:left="-142" w:right="0" w:firstLine="0"/>
              <w:jc w:val="center"/>
              <w:rPr>
                <w:rFonts w:ascii="Arimo" w:cs="Arimo" w:eastAsia="Arimo" w:hAnsi="Arimo"/>
                <w:b w:val="0"/>
                <w:bCs w:val="0"/>
                <w:i w:val="0"/>
                <w:iCs w:val="0"/>
                <w:smallCaps w:val="0"/>
                <w:strike w:val="0"/>
                <w:color w:val="000000"/>
                <w:sz w:val="20"/>
                <w:szCs w:val="20"/>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6"/>
                <w:szCs w:val="16"/>
                <w:u w:val="none"/>
                <w:shd w:fill="auto" w:val="clear"/>
                <w:vertAlign w:val="baseline"/>
                <w:rtl w:val="0"/>
              </w:rPr>
              <w:t xml:space="preserve">Society</w:t>
            </w:r>
            <w:r w:rsidDel="00000000" w:rsidR="00000000" w:rsidRPr="00000000">
              <w:rPr>
                <w:rtl w:val="0"/>
              </w:rPr>
            </w:r>
          </w:p>
        </w:tc>
      </w:tr>
      <w:tr>
        <w:trPr>
          <w:cantSplit w:val="1"/>
          <w:tblHeader w:val="0"/>
        </w:trPr>
        <w:tc>
          <w:tcPr>
            <w:gridSpan w:val="2"/>
            <w:tcBorders>
              <w:left w:color="000000" w:space="0" w:sz="12" w:val="single"/>
              <w:bottom w:color="000000" w:space="0" w:sz="12" w:val="single"/>
              <w:right w:color="000000" w:space="0" w:sz="12" w:val="single"/>
            </w:tcBorders>
          </w:tcPr>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0" w:before="0" w:line="240" w:lineRule="auto"/>
              <w:ind w:left="0" w:right="0" w:firstLine="0"/>
              <w:jc w:val="center"/>
              <w:rPr>
                <w:rFonts w:ascii="Arimo" w:cs="Arimo" w:eastAsia="Arimo" w:hAnsi="Arimo"/>
                <w:b w:val="0"/>
                <w:bCs w:val="0"/>
                <w:i w:val="0"/>
                <w:iCs w:val="0"/>
                <w:smallCaps w:val="0"/>
                <w:strike w:val="0"/>
                <w:color w:val="000000"/>
                <w:sz w:val="14"/>
                <w:szCs w:val="14"/>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  Registered charity nos.</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 w:val="center" w:leader="none" w:pos="4252"/>
                <w:tab w:val="right" w:leader="none" w:pos="8504"/>
                <w:tab w:val="right" w:leader="none" w:pos="9100"/>
              </w:tabs>
              <w:spacing w:after="60" w:before="0" w:line="240" w:lineRule="auto"/>
              <w:ind w:left="0" w:right="0" w:firstLine="0"/>
              <w:jc w:val="center"/>
              <w:rPr>
                <w:rFonts w:ascii="Arimo" w:cs="Arimo" w:eastAsia="Arimo" w:hAnsi="Arimo"/>
                <w:b w:val="0"/>
                <w:bCs w:val="0"/>
                <w:i w:val="0"/>
                <w:iCs w:val="0"/>
                <w:smallCaps w:val="0"/>
                <w:strike w:val="0"/>
                <w:color w:val="000000"/>
                <w:sz w:val="16"/>
                <w:szCs w:val="16"/>
                <w:u w:val="none"/>
                <w:shd w:fill="auto" w:val="clear"/>
                <w:vertAlign w:val="baseline"/>
              </w:rPr>
            </w:pPr>
            <w:r w:rsidDel="00000000" w:rsidR="00000000" w:rsidRPr="00000000">
              <w:rPr>
                <w:rFonts w:ascii="Arimo" w:cs="Arimo" w:eastAsia="Arimo" w:hAnsi="Arimo"/>
                <w:b w:val="0"/>
                <w:bCs w:val="0"/>
                <w:i w:val="0"/>
                <w:iCs w:val="0"/>
                <w:smallCaps w:val="0"/>
                <w:strike w:val="0"/>
                <w:color w:val="000000"/>
                <w:sz w:val="14"/>
                <w:szCs w:val="14"/>
                <w:u w:val="none"/>
                <w:shd w:fill="auto" w:val="clear"/>
                <w:vertAlign w:val="baseline"/>
                <w:rtl w:val="0"/>
              </w:rPr>
              <w:t xml:space="preserve">233706 &amp; 210161, respectively</w:t>
            </w:r>
            <w:r w:rsidDel="00000000" w:rsidR="00000000" w:rsidRPr="00000000">
              <w:rPr>
                <w:rtl w:val="0"/>
              </w:rPr>
            </w:r>
          </w:p>
        </w:tc>
      </w:tr>
    </w:tbl>
    <w:p w:rsidR="00000000" w:rsidDel="00000000" w:rsidP="00000000" w:rsidRDefault="00000000" w:rsidRPr="00000000" w14:paraId="0000000E">
      <w:pPr>
        <w:jc w:val="right"/>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Dr Marie-Laure Bagard</w:t>
      </w:r>
    </w:p>
    <w:p w:rsidR="00000000" w:rsidDel="00000000" w:rsidP="00000000" w:rsidRDefault="00000000" w:rsidRPr="00000000" w14:paraId="0000000F">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Secretary of the Geochemistry Group</w:t>
      </w:r>
    </w:p>
    <w:p w:rsidR="00000000" w:rsidDel="00000000" w:rsidP="00000000" w:rsidRDefault="00000000" w:rsidRPr="00000000" w14:paraId="00000010">
      <w:pPr>
        <w:jc w:val="right"/>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1">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Department of Earth Sciences</w:t>
        <w:br w:type="textWrapping"/>
        <w:t xml:space="preserve">University of Cambridge</w:t>
        <w:br w:type="textWrapping"/>
        <w:t xml:space="preserve">Downing Street Cambridge</w:t>
        <w:br w:type="textWrapping"/>
        <w:t xml:space="preserve">Cambridgeshire CB2 3EQ</w:t>
        <w:br w:type="textWrapping"/>
        <w:t xml:space="preserve">United Kingdom</w:t>
      </w:r>
    </w:p>
    <w:p w:rsidR="00000000" w:rsidDel="00000000" w:rsidP="00000000" w:rsidRDefault="00000000" w:rsidRPr="00000000" w14:paraId="00000012">
      <w:pPr>
        <w:jc w:val="right"/>
        <w:rPr>
          <w:rFonts w:ascii="Arial" w:cs="Arial" w:eastAsia="Arial" w:hAnsi="Arial"/>
          <w:sz w:val="20"/>
          <w:szCs w:val="20"/>
        </w:rPr>
      </w:pPr>
      <w:r w:rsidDel="00000000" w:rsidR="00000000" w:rsidRPr="00000000">
        <w:rPr>
          <w:rFonts w:ascii="Arial" w:cs="Arial" w:eastAsia="Arial" w:hAnsi="Arial"/>
          <w:sz w:val="20"/>
          <w:szCs w:val="20"/>
          <w:rtl w:val="0"/>
        </w:rPr>
        <w:t xml:space="preserve">Tel: +44 (0)1223 333452</w:t>
        <w:br w:type="textWrapping"/>
        <w:t xml:space="preserve">Email: </w:t>
      </w:r>
      <w:hyperlink r:id="rId8">
        <w:r w:rsidDel="00000000" w:rsidR="00000000" w:rsidRPr="00000000">
          <w:rPr>
            <w:rFonts w:ascii="Arial" w:cs="Arial" w:eastAsia="Arial" w:hAnsi="Arial"/>
            <w:color w:val="0000ff"/>
            <w:sz w:val="20"/>
            <w:szCs w:val="20"/>
            <w:u w:val="single"/>
            <w:rtl w:val="0"/>
          </w:rPr>
          <w:t xml:space="preserve">mlb63@cam.ac.uk</w:t>
        </w:r>
      </w:hyperlink>
      <w:r w:rsidDel="00000000" w:rsidR="00000000" w:rsidRPr="00000000">
        <w:rPr>
          <w:rtl w:val="0"/>
        </w:rPr>
      </w:r>
    </w:p>
    <w:p w:rsidR="00000000" w:rsidDel="00000000" w:rsidP="00000000" w:rsidRDefault="00000000" w:rsidRPr="00000000" w14:paraId="00000013">
      <w:pPr>
        <w:ind w:left="0" w:firstLine="0"/>
        <w:rPr>
          <w:rFonts w:ascii="Arial" w:cs="Arial" w:eastAsia="Arial" w:hAnsi="Arial"/>
          <w:b w:val="1"/>
          <w:bCs w:val="1"/>
        </w:rPr>
      </w:pPr>
      <w:r w:rsidDel="00000000" w:rsidR="00000000" w:rsidRPr="00000000">
        <w:rPr>
          <w:rtl w:val="0"/>
        </w:rPr>
      </w:r>
    </w:p>
    <w:p w:rsidR="00000000" w:rsidDel="00000000" w:rsidP="00000000" w:rsidRDefault="00000000" w:rsidRPr="00000000" w14:paraId="00000014">
      <w:pPr>
        <w:ind w:left="0" w:firstLine="0"/>
        <w:jc w:val="center"/>
        <w:rPr>
          <w:rFonts w:ascii="Arial" w:cs="Arial" w:eastAsia="Arial" w:hAnsi="Arial"/>
          <w:b w:val="1"/>
          <w:bCs w:val="1"/>
          <w:sz w:val="12"/>
          <w:szCs w:val="12"/>
        </w:rPr>
      </w:pPr>
      <w:r w:rsidDel="00000000" w:rsidR="00000000" w:rsidRPr="00000000">
        <w:rPr>
          <w:rtl w:val="0"/>
        </w:rPr>
      </w:r>
    </w:p>
    <w:p w:rsidR="00000000" w:rsidDel="00000000" w:rsidP="00000000" w:rsidRDefault="00000000" w:rsidRPr="00000000" w14:paraId="00000015">
      <w:pPr>
        <w:ind w:left="0" w:firstLine="0"/>
        <w:jc w:val="center"/>
        <w:rPr>
          <w:rFonts w:ascii="Arial" w:cs="Arial" w:eastAsia="Arial" w:hAnsi="Arial"/>
          <w:b w:val="1"/>
          <w:bCs w:val="1"/>
        </w:rPr>
      </w:pPr>
      <w:r w:rsidDel="00000000" w:rsidR="00000000" w:rsidRPr="00000000">
        <w:rPr>
          <w:rFonts w:ascii="Arial" w:cs="Arial" w:eastAsia="Arial" w:hAnsi="Arial"/>
          <w:b w:val="1"/>
          <w:bCs w:val="1"/>
          <w:rtl w:val="0"/>
        </w:rPr>
        <w:t xml:space="preserve">Geochemistry Group Postdoctoral Researcher Medal Application Form</w:t>
      </w:r>
    </w:p>
    <w:p w:rsidR="00000000" w:rsidDel="00000000" w:rsidP="00000000" w:rsidRDefault="00000000" w:rsidRPr="00000000" w14:paraId="00000016">
      <w:pPr>
        <w:ind w:left="0" w:firstLine="0"/>
        <w:jc w:val="center"/>
        <w:rPr>
          <w:rFonts w:ascii="Arial" w:cs="Arial" w:eastAsia="Arial" w:hAnsi="Arial"/>
          <w:b w:val="1"/>
          <w:bCs w:val="1"/>
        </w:rPr>
      </w:pPr>
      <w:r w:rsidDel="00000000" w:rsidR="00000000" w:rsidRPr="00000000">
        <w:rPr>
          <w:rtl w:val="0"/>
        </w:rPr>
      </w:r>
    </w:p>
    <w:p w:rsidR="00000000" w:rsidDel="00000000" w:rsidP="00000000" w:rsidRDefault="00000000" w:rsidRPr="00000000" w14:paraId="00000017">
      <w:pPr>
        <w:spacing w:after="120" w:before="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Geochemistry Group welcomes applications for the </w:t>
      </w:r>
      <w:r w:rsidDel="00000000" w:rsidR="00000000" w:rsidRPr="00000000">
        <w:rPr>
          <w:rFonts w:ascii="Arial" w:cs="Arial" w:eastAsia="Arial" w:hAnsi="Arial"/>
          <w:b w:val="1"/>
          <w:bCs w:val="1"/>
          <w:sz w:val="20"/>
          <w:szCs w:val="20"/>
          <w:rtl w:val="0"/>
        </w:rPr>
        <w:t xml:space="preserve">Postdoctoral Researcher Medal</w:t>
      </w:r>
      <w:r w:rsidDel="00000000" w:rsidR="00000000" w:rsidRPr="00000000">
        <w:rPr>
          <w:rFonts w:ascii="Arial" w:cs="Arial" w:eastAsia="Arial" w:hAnsi="Arial"/>
          <w:sz w:val="20"/>
          <w:szCs w:val="20"/>
          <w:rtl w:val="0"/>
        </w:rPr>
        <w:t xml:space="preserve">, awarded in recognition of an </w:t>
      </w:r>
      <w:r w:rsidDel="00000000" w:rsidR="00000000" w:rsidRPr="00000000">
        <w:rPr>
          <w:rFonts w:ascii="Arial" w:cs="Arial" w:eastAsia="Arial" w:hAnsi="Arial"/>
          <w:b w:val="1"/>
          <w:bCs w:val="1"/>
          <w:sz w:val="20"/>
          <w:szCs w:val="20"/>
          <w:rtl w:val="0"/>
        </w:rPr>
        <w:t xml:space="preserve">outstanding peer-reviewed geochemical paper</w:t>
      </w:r>
      <w:r w:rsidDel="00000000" w:rsidR="00000000" w:rsidRPr="00000000">
        <w:rPr>
          <w:rFonts w:ascii="Arial" w:cs="Arial" w:eastAsia="Arial" w:hAnsi="Arial"/>
          <w:sz w:val="20"/>
          <w:szCs w:val="20"/>
          <w:rtl w:val="0"/>
        </w:rPr>
        <w:t xml:space="preserve"> published by a postdoctoral researcher based at </w:t>
      </w:r>
      <w:r w:rsidDel="00000000" w:rsidR="00000000" w:rsidRPr="00000000">
        <w:rPr>
          <w:rFonts w:ascii="Arial" w:cs="Arial" w:eastAsia="Arial" w:hAnsi="Arial"/>
          <w:b w:val="1"/>
          <w:bCs w:val="1"/>
          <w:sz w:val="20"/>
          <w:szCs w:val="20"/>
          <w:rtl w:val="0"/>
        </w:rPr>
        <w:t xml:space="preserve">a UK or Irish university</w:t>
      </w:r>
      <w:r w:rsidDel="00000000" w:rsidR="00000000" w:rsidRPr="00000000">
        <w:rPr>
          <w:rFonts w:ascii="Arial" w:cs="Arial" w:eastAsia="Arial" w:hAnsi="Arial"/>
          <w:sz w:val="20"/>
          <w:szCs w:val="20"/>
          <w:rtl w:val="0"/>
        </w:rPr>
        <w:t xml:space="preserve"> </w:t>
      </w:r>
      <w:r w:rsidDel="00000000" w:rsidR="00000000" w:rsidRPr="00000000">
        <w:rPr>
          <w:rFonts w:ascii="Arial" w:cs="Arial" w:eastAsia="Arial" w:hAnsi="Arial"/>
          <w:b w:val="1"/>
          <w:bCs w:val="1"/>
          <w:sz w:val="20"/>
          <w:szCs w:val="20"/>
          <w:rtl w:val="0"/>
        </w:rPr>
        <w:t xml:space="preserve">or research institution</w:t>
      </w:r>
      <w:r w:rsidDel="00000000" w:rsidR="00000000" w:rsidRPr="00000000">
        <w:rPr>
          <w:rFonts w:ascii="Arial" w:cs="Arial" w:eastAsia="Arial" w:hAnsi="Arial"/>
          <w:sz w:val="20"/>
          <w:szCs w:val="20"/>
          <w:rtl w:val="0"/>
        </w:rPr>
        <w:t xml:space="preserve">. The medal is open to </w:t>
      </w:r>
      <w:r w:rsidDel="00000000" w:rsidR="00000000" w:rsidRPr="00000000">
        <w:rPr>
          <w:rFonts w:ascii="Arial" w:cs="Arial" w:eastAsia="Arial" w:hAnsi="Arial"/>
          <w:b w:val="1"/>
          <w:bCs w:val="1"/>
          <w:sz w:val="20"/>
          <w:szCs w:val="20"/>
          <w:rtl w:val="0"/>
        </w:rPr>
        <w:t xml:space="preserve">researchers who hold a PhD and are on a temporary research contract that is not an independent research fellowship.</w:t>
      </w:r>
      <w:r w:rsidDel="00000000" w:rsidR="00000000" w:rsidRPr="00000000">
        <w:rPr>
          <w:rFonts w:ascii="Arial" w:cs="Arial" w:eastAsia="Arial" w:hAnsi="Arial"/>
          <w:sz w:val="20"/>
          <w:szCs w:val="20"/>
          <w:rtl w:val="0"/>
        </w:rPr>
        <w:t xml:space="preserve"> Full eligibility criteria are listed in the attached appendix.</w:t>
      </w:r>
    </w:p>
    <w:p w:rsidR="00000000" w:rsidDel="00000000" w:rsidP="00000000" w:rsidRDefault="00000000" w:rsidRPr="00000000" w14:paraId="00000018">
      <w:pPr>
        <w:spacing w:after="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award aims to promote the work of post-doctoral researchers who are not independent research fellows by recognising their outstanding research contribution. One recipient will win the medal each year, based on the publication’s innovation, novelty and significance to its field. Medal winners will also be invited to give a keynote lecture at the Geochemistry Group’s annual Research in Progress (GGRiP) meeting.</w:t>
      </w:r>
    </w:p>
    <w:p w:rsidR="00000000" w:rsidDel="00000000" w:rsidP="00000000" w:rsidRDefault="00000000" w:rsidRPr="00000000" w14:paraId="00000019">
      <w:pPr>
        <w:spacing w:after="120" w:lineRule="auto"/>
        <w:jc w:val="both"/>
        <w:rPr>
          <w:rFonts w:ascii="Arial" w:cs="Arial" w:eastAsia="Arial" w:hAnsi="Arial"/>
          <w:sz w:val="20"/>
          <w:szCs w:val="20"/>
        </w:rPr>
      </w:pPr>
      <w:r w:rsidDel="00000000" w:rsidR="00000000" w:rsidRPr="00000000">
        <w:rPr>
          <w:rFonts w:ascii="Arial" w:cs="Arial" w:eastAsia="Arial" w:hAnsi="Arial"/>
          <w:b w:val="1"/>
          <w:bCs w:val="1"/>
          <w:sz w:val="20"/>
          <w:szCs w:val="20"/>
          <w:rtl w:val="0"/>
        </w:rPr>
        <w:t xml:space="preserve">There is one application round per year, with a deadline of 15</w:t>
      </w:r>
      <w:r w:rsidDel="00000000" w:rsidR="00000000" w:rsidRPr="00000000">
        <w:rPr>
          <w:rFonts w:ascii="Arial" w:cs="Arial" w:eastAsia="Arial" w:hAnsi="Arial"/>
          <w:b w:val="1"/>
          <w:bCs w:val="1"/>
          <w:sz w:val="20"/>
          <w:szCs w:val="20"/>
          <w:vertAlign w:val="superscript"/>
          <w:rtl w:val="0"/>
        </w:rPr>
        <w:t xml:space="preserve">th</w:t>
      </w:r>
      <w:r w:rsidDel="00000000" w:rsidR="00000000" w:rsidRPr="00000000">
        <w:rPr>
          <w:rFonts w:ascii="Arial" w:cs="Arial" w:eastAsia="Arial" w:hAnsi="Arial"/>
          <w:b w:val="1"/>
          <w:bCs w:val="1"/>
          <w:sz w:val="20"/>
          <w:szCs w:val="20"/>
          <w:rtl w:val="0"/>
        </w:rPr>
        <w:t xml:space="preserve"> January. Applications are accepted throughout the calendar year but will not be judged before the deadline.</w:t>
      </w:r>
      <w:r w:rsidDel="00000000" w:rsidR="00000000" w:rsidRPr="00000000">
        <w:rPr>
          <w:rFonts w:ascii="Arial" w:cs="Arial" w:eastAsia="Arial" w:hAnsi="Arial"/>
          <w:sz w:val="20"/>
          <w:szCs w:val="20"/>
          <w:rtl w:val="0"/>
        </w:rPr>
        <w:t xml:space="preserve"> Details of any adjustments to this date and other relevant information will be published on the Geochemistry Group’s website, </w:t>
      </w:r>
      <w:hyperlink r:id="rId9">
        <w:r w:rsidDel="00000000" w:rsidR="00000000" w:rsidRPr="00000000">
          <w:rPr>
            <w:rFonts w:ascii="Arial" w:cs="Arial" w:eastAsia="Arial" w:hAnsi="Arial"/>
            <w:color w:val="0000ff"/>
            <w:sz w:val="20"/>
            <w:szCs w:val="20"/>
            <w:u w:val="single"/>
            <w:rtl w:val="0"/>
          </w:rPr>
          <w:t xml:space="preserve">www.geochemistry.group</w:t>
        </w:r>
      </w:hyperlink>
      <w:r w:rsidDel="00000000" w:rsidR="00000000" w:rsidRPr="00000000">
        <w:rPr>
          <w:rFonts w:ascii="Arial" w:cs="Arial" w:eastAsia="Arial" w:hAnsi="Arial"/>
          <w:sz w:val="20"/>
          <w:szCs w:val="20"/>
          <w:rtl w:val="0"/>
        </w:rPr>
        <w:t xml:space="preserve">, and/or through the group’s social media pages.</w:t>
      </w:r>
    </w:p>
    <w:p w:rsidR="00000000" w:rsidDel="00000000" w:rsidP="00000000" w:rsidRDefault="00000000" w:rsidRPr="00000000" w14:paraId="0000001A">
      <w:pPr>
        <w:spacing w:after="12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To apply, the researcher should email the Geochemistry Group secretary with the following attachments:</w:t>
      </w:r>
    </w:p>
    <w:p w:rsidR="00000000" w:rsidDel="00000000" w:rsidP="00000000" w:rsidRDefault="00000000" w:rsidRPr="00000000" w14:paraId="0000001B">
      <w:pPr>
        <w:numPr>
          <w:ilvl w:val="0"/>
          <w:numId w:val="2"/>
        </w:numPr>
        <w:ind w:left="10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completed application form. </w:t>
      </w:r>
    </w:p>
    <w:p w:rsidR="00000000" w:rsidDel="00000000" w:rsidP="00000000" w:rsidRDefault="00000000" w:rsidRPr="00000000" w14:paraId="0000001C">
      <w:pPr>
        <w:numPr>
          <w:ilvl w:val="0"/>
          <w:numId w:val="2"/>
        </w:numPr>
        <w:ind w:left="10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letter of support. The letter should not exceed one side of A4, and needs to clearly state the contribution to science made by the publication. Note that the letter is not intended to support the nominee, only the impact, novelty and innovation of the nominated publication. </w:t>
      </w:r>
    </w:p>
    <w:p w:rsidR="00000000" w:rsidDel="00000000" w:rsidP="00000000" w:rsidRDefault="00000000" w:rsidRPr="00000000" w14:paraId="0000001D">
      <w:pPr>
        <w:numPr>
          <w:ilvl w:val="0"/>
          <w:numId w:val="2"/>
        </w:numPr>
        <w:ind w:left="108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copy of the manuscript. </w:t>
      </w:r>
    </w:p>
    <w:p w:rsidR="00000000" w:rsidDel="00000000" w:rsidP="00000000" w:rsidRDefault="00000000" w:rsidRPr="00000000" w14:paraId="0000001E">
      <w:pP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1F">
      <w:pPr>
        <w:rPr>
          <w:rFonts w:ascii="Arial" w:cs="Arial" w:eastAsia="Arial" w:hAnsi="Arial"/>
          <w:sz w:val="20"/>
          <w:szCs w:val="20"/>
        </w:rPr>
      </w:pPr>
      <w:r w:rsidDel="00000000" w:rsidR="00000000" w:rsidRPr="00000000">
        <w:rPr>
          <w:rFonts w:ascii="Arial" w:cs="Arial" w:eastAsia="Arial" w:hAnsi="Arial"/>
          <w:sz w:val="20"/>
          <w:szCs w:val="20"/>
          <w:rtl w:val="0"/>
        </w:rPr>
        <w:t xml:space="preserve">Please contact the Geochemistry Group’s secretary, Dr Marie-Laure Bagard, if you require any further information about this program. </w:t>
      </w:r>
    </w:p>
    <w:p w:rsidR="00000000" w:rsidDel="00000000" w:rsidP="00000000" w:rsidRDefault="00000000" w:rsidRPr="00000000" w14:paraId="00000020">
      <w:pPr>
        <w:jc w:val="both"/>
        <w:rPr>
          <w:rFonts w:ascii="Arial" w:cs="Arial" w:eastAsia="Arial" w:hAnsi="Arial"/>
          <w:sz w:val="20"/>
          <w:szCs w:val="20"/>
        </w:rPr>
      </w:pPr>
      <w:r w:rsidDel="00000000" w:rsidR="00000000" w:rsidRPr="00000000">
        <w:rPr>
          <w:rtl w:val="0"/>
        </w:rPr>
      </w:r>
    </w:p>
    <w:tbl>
      <w:tblPr>
        <w:tblStyle w:val="Table2"/>
        <w:tblW w:w="9860.0" w:type="dxa"/>
        <w:jc w:val="left"/>
        <w:tblInd w:w="-108.0" w:type="dxa"/>
        <w:tblLayout w:type="fixed"/>
        <w:tblLook w:val="0000"/>
      </w:tblPr>
      <w:tblGrid>
        <w:gridCol w:w="3651"/>
        <w:gridCol w:w="6209"/>
        <w:tblGridChange w:id="0">
          <w:tblGrid>
            <w:gridCol w:w="3651"/>
            <w:gridCol w:w="6209"/>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tcPr>
          <w:p w:rsidR="00000000" w:rsidDel="00000000" w:rsidP="00000000" w:rsidRDefault="00000000" w:rsidRPr="00000000" w14:paraId="00000021">
            <w:pPr>
              <w:spacing w:after="60" w:before="6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Personal Details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3">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Name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4">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5">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Institution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6">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7">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Postal address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8">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9">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Phone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A">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B">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Email</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C">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D">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Position</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E">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2F">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Source of funding</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0">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1">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Nominating letters of support from</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2">
            <w:pPr>
              <w:spacing w:after="60" w:before="6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33">
      <w:pPr>
        <w:spacing w:line="360" w:lineRule="auto"/>
        <w:jc w:val="both"/>
        <w:rPr>
          <w:rFonts w:ascii="Arial" w:cs="Arial" w:eastAsia="Arial" w:hAnsi="Arial"/>
          <w:sz w:val="20"/>
          <w:szCs w:val="20"/>
        </w:rPr>
      </w:pPr>
      <w:r w:rsidDel="00000000" w:rsidR="00000000" w:rsidRPr="00000000">
        <w:rPr>
          <w:rtl w:val="0"/>
        </w:rPr>
      </w:r>
    </w:p>
    <w:tbl>
      <w:tblPr>
        <w:tblStyle w:val="Table3"/>
        <w:tblW w:w="9860.0" w:type="dxa"/>
        <w:jc w:val="left"/>
        <w:tblInd w:w="-108.0" w:type="dxa"/>
        <w:tblLayout w:type="fixed"/>
        <w:tblLook w:val="0000"/>
      </w:tblPr>
      <w:tblGrid>
        <w:gridCol w:w="3651"/>
        <w:gridCol w:w="6209"/>
        <w:tblGridChange w:id="0">
          <w:tblGrid>
            <w:gridCol w:w="3651"/>
            <w:gridCol w:w="6209"/>
          </w:tblGrid>
        </w:tblGridChange>
      </w:tblGrid>
      <w:tr>
        <w:trPr>
          <w:cantSplit w:val="0"/>
          <w:tblHeader w:val="0"/>
        </w:trPr>
        <w:tc>
          <w:tcPr>
            <w:gridSpan w:val="2"/>
            <w:tcBorders>
              <w:top w:color="000000" w:space="0" w:sz="4" w:val="single"/>
              <w:left w:color="000000" w:space="0" w:sz="4" w:val="single"/>
              <w:bottom w:color="000000" w:space="0" w:sz="4" w:val="single"/>
              <w:right w:color="000000" w:space="0" w:sz="4" w:val="single"/>
            </w:tcBorders>
            <w:shd w:fill="b8cce4" w:val="clear"/>
            <w:vAlign w:val="center"/>
          </w:tcPr>
          <w:p w:rsidR="00000000" w:rsidDel="00000000" w:rsidP="00000000" w:rsidRDefault="00000000" w:rsidRPr="00000000" w14:paraId="00000034">
            <w:pPr>
              <w:spacing w:after="60" w:before="60" w:lineRule="auto"/>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Publication Information</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6">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Title</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7">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8">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Journal</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9">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A">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Citation information or DOI</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B">
            <w:pPr>
              <w:spacing w:after="60" w:before="60" w:lineRule="auto"/>
              <w:rPr>
                <w:rFonts w:ascii="Arial" w:cs="Arial" w:eastAsia="Arial" w:hAnsi="Arial"/>
                <w:sz w:val="20"/>
                <w:szCs w:val="2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C">
            <w:pPr>
              <w:spacing w:after="60" w:before="60" w:lineRule="auto"/>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Abstract</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3D">
            <w:pPr>
              <w:spacing w:after="60" w:before="60"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3E">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3F">
      <w:pPr>
        <w:spacing w:after="120" w:before="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 submitting this application I confirm that the above details are correct and provide consent for the Geochemistry Group and its parent bodies (The Mineralogical Society of Great Britain and Ireland and the Geological Society of London) to gather personal information in order to provide you with services relating to the Group. These data will be stored electronically for a period of not more than three years and will be used to contact you in relation to the Geochemistry Group only. </w:t>
      </w:r>
      <w:r w:rsidDel="00000000" w:rsidR="00000000" w:rsidRPr="00000000">
        <mc:AlternateContent>
          <mc:Choice Requires="wpg">
            <w:drawing>
              <wp:anchor allowOverlap="1" behindDoc="0" distB="4445" distT="5715" distL="5715" distR="4445" hidden="0" layoutInCell="1" locked="0" relativeHeight="0" simplePos="0">
                <wp:simplePos x="0" y="0"/>
                <wp:positionH relativeFrom="column">
                  <wp:posOffset>-73976</wp:posOffset>
                </wp:positionH>
                <wp:positionV relativeFrom="paragraph">
                  <wp:posOffset>16828</wp:posOffset>
                </wp:positionV>
                <wp:extent cx="246380" cy="246380"/>
                <wp:effectExtent b="0" l="0" r="0" t="0"/>
                <wp:wrapNone/>
                <wp:docPr id="7" name=""/>
                <a:graphic>
                  <a:graphicData uri="http://schemas.microsoft.com/office/word/2010/wordprocessingShape">
                    <wps:wsp>
                      <wps:cNvSpPr/>
                      <wps:cNvPr id="4" name="Shape 4"/>
                      <wps:spPr>
                        <a:xfrm>
                          <a:off x="5227560" y="3661560"/>
                          <a:ext cx="236880" cy="23688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4445" distT="5715" distL="5715" distR="4445" hidden="0" layoutInCell="1" locked="0" relativeHeight="0" simplePos="0">
                <wp:simplePos x="0" y="0"/>
                <wp:positionH relativeFrom="column">
                  <wp:posOffset>-73976</wp:posOffset>
                </wp:positionH>
                <wp:positionV relativeFrom="paragraph">
                  <wp:posOffset>16828</wp:posOffset>
                </wp:positionV>
                <wp:extent cx="246380" cy="246380"/>
                <wp:effectExtent b="0" l="0" r="0" t="0"/>
                <wp:wrapNone/>
                <wp:docPr id="7"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246380" cy="246380"/>
                        </a:xfrm>
                        <a:prstGeom prst="rect"/>
                        <a:ln/>
                      </pic:spPr>
                    </pic:pic>
                  </a:graphicData>
                </a:graphic>
              </wp:anchor>
            </w:drawing>
          </mc:Fallback>
        </mc:AlternateContent>
      </w:r>
    </w:p>
    <w:p w:rsidR="00000000" w:rsidDel="00000000" w:rsidP="00000000" w:rsidRDefault="00000000" w:rsidRPr="00000000" w14:paraId="00000040">
      <w:pPr>
        <w:spacing w:after="120" w:before="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Please tick this box if you wish to be added to the Geochemistry Group’s mailing list to receive updates on the group’s activities and information relating to other Special Interest Groups. </w:t>
      </w:r>
      <w:r w:rsidDel="00000000" w:rsidR="00000000" w:rsidRPr="00000000">
        <mc:AlternateContent>
          <mc:Choice Requires="wpg">
            <w:drawing>
              <wp:anchor allowOverlap="1" behindDoc="0" distB="4445" distT="5715" distL="5715" distR="4445" hidden="0" layoutInCell="1" locked="0" relativeHeight="0" simplePos="0">
                <wp:simplePos x="0" y="0"/>
                <wp:positionH relativeFrom="column">
                  <wp:posOffset>-73976</wp:posOffset>
                </wp:positionH>
                <wp:positionV relativeFrom="paragraph">
                  <wp:posOffset>13018</wp:posOffset>
                </wp:positionV>
                <wp:extent cx="246380" cy="246380"/>
                <wp:effectExtent b="0" l="0" r="0" t="0"/>
                <wp:wrapNone/>
                <wp:docPr id="6" name=""/>
                <a:graphic>
                  <a:graphicData uri="http://schemas.microsoft.com/office/word/2010/wordprocessingShape">
                    <wps:wsp>
                      <wps:cNvSpPr/>
                      <wps:cNvPr id="3" name="Shape 3"/>
                      <wps:spPr>
                        <a:xfrm>
                          <a:off x="5227560" y="3661560"/>
                          <a:ext cx="236880" cy="23688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4445" distT="5715" distL="5715" distR="4445" hidden="0" layoutInCell="1" locked="0" relativeHeight="0" simplePos="0">
                <wp:simplePos x="0" y="0"/>
                <wp:positionH relativeFrom="column">
                  <wp:posOffset>-73976</wp:posOffset>
                </wp:positionH>
                <wp:positionV relativeFrom="paragraph">
                  <wp:posOffset>13018</wp:posOffset>
                </wp:positionV>
                <wp:extent cx="246380" cy="246380"/>
                <wp:effectExtent b="0" l="0" r="0" t="0"/>
                <wp:wrapNone/>
                <wp:docPr id="6" name="image3.png"/>
                <a:graphic>
                  <a:graphicData uri="http://schemas.openxmlformats.org/drawingml/2006/picture">
                    <pic:pic>
                      <pic:nvPicPr>
                        <pic:cNvPr id="0" name="image3.png"/>
                        <pic:cNvPicPr preferRelativeResize="0"/>
                      </pic:nvPicPr>
                      <pic:blipFill>
                        <a:blip r:embed="rId10"/>
                        <a:srcRect/>
                        <a:stretch>
                          <a:fillRect/>
                        </a:stretch>
                      </pic:blipFill>
                      <pic:spPr>
                        <a:xfrm>
                          <a:off x="0" y="0"/>
                          <a:ext cx="246380" cy="246380"/>
                        </a:xfrm>
                        <a:prstGeom prst="rect"/>
                        <a:ln/>
                      </pic:spPr>
                    </pic:pic>
                  </a:graphicData>
                </a:graphic>
              </wp:anchor>
            </w:drawing>
          </mc:Fallback>
        </mc:AlternateContent>
      </w:r>
    </w:p>
    <w:p w:rsidR="00000000" w:rsidDel="00000000" w:rsidP="00000000" w:rsidRDefault="00000000" w:rsidRPr="00000000" w14:paraId="00000041">
      <w:pPr>
        <w:spacing w:after="120" w:before="0" w:lineRule="auto"/>
        <w:ind w:left="426" w:firstLine="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We ask all applicants to complete an optional equality, diversity &amp; inclusion questionnaire after submission (time to complete: &lt; 2 minutes). Their sole purpose is to help us evaluate the impact of our actions on diversity within the Geochemistry Group activities. All replies will be processed anonymously via a Google Form. </w:t>
      </w:r>
      <w:r w:rsidDel="00000000" w:rsidR="00000000" w:rsidRPr="00000000">
        <w:rPr>
          <w:rFonts w:ascii="Arial" w:cs="Arial" w:eastAsia="Arial" w:hAnsi="Arial"/>
          <w:b w:val="1"/>
          <w:bCs w:val="1"/>
          <w:sz w:val="20"/>
          <w:szCs w:val="20"/>
          <w:u w:val="single"/>
          <w:rtl w:val="0"/>
        </w:rPr>
        <w:t xml:space="preserve">If you do NOT wish</w:t>
      </w:r>
      <w:r w:rsidDel="00000000" w:rsidR="00000000" w:rsidRPr="00000000">
        <w:rPr>
          <w:rFonts w:ascii="Arial" w:cs="Arial" w:eastAsia="Arial" w:hAnsi="Arial"/>
          <w:sz w:val="20"/>
          <w:szCs w:val="20"/>
          <w:rtl w:val="0"/>
        </w:rPr>
        <w:t xml:space="preserve"> to take part in this survey, please tick this box.</w:t>
      </w:r>
      <w:r w:rsidDel="00000000" w:rsidR="00000000" w:rsidRPr="00000000">
        <mc:AlternateContent>
          <mc:Choice Requires="wpg">
            <w:drawing>
              <wp:anchor allowOverlap="1" behindDoc="0" distB="4445" distT="5715" distL="5715" distR="4445" hidden="0" layoutInCell="1" locked="0" relativeHeight="0" simplePos="0">
                <wp:simplePos x="0" y="0"/>
                <wp:positionH relativeFrom="column">
                  <wp:posOffset>-73976</wp:posOffset>
                </wp:positionH>
                <wp:positionV relativeFrom="paragraph">
                  <wp:posOffset>13018</wp:posOffset>
                </wp:positionV>
                <wp:extent cx="246380" cy="246380"/>
                <wp:effectExtent b="0" l="0" r="0" t="0"/>
                <wp:wrapNone/>
                <wp:docPr id="5" name=""/>
                <a:graphic>
                  <a:graphicData uri="http://schemas.microsoft.com/office/word/2010/wordprocessingShape">
                    <wps:wsp>
                      <wps:cNvSpPr/>
                      <wps:cNvPr id="2" name="Shape 2"/>
                      <wps:spPr>
                        <a:xfrm>
                          <a:off x="5227560" y="3661560"/>
                          <a:ext cx="236880" cy="236880"/>
                        </a:xfrm>
                        <a:prstGeom prst="rect">
                          <a:avLst/>
                        </a:prstGeom>
                        <a:noFill/>
                        <a:ln cap="flat" cmpd="sng" w="9525">
                          <a:solidFill>
                            <a:srgbClr val="000000"/>
                          </a:solidFill>
                          <a:prstDash val="solid"/>
                          <a:miter lim="8000"/>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t" bIns="91425" lIns="91425" spcFirstLastPara="1" rIns="91425" wrap="square" tIns="91425">
                        <a:noAutofit/>
                      </wps:bodyPr>
                    </wps:wsp>
                  </a:graphicData>
                </a:graphic>
              </wp:anchor>
            </w:drawing>
          </mc:Choice>
          <mc:Fallback>
            <w:drawing>
              <wp:anchor allowOverlap="1" behindDoc="0" distB="4445" distT="5715" distL="5715" distR="4445" hidden="0" layoutInCell="1" locked="0" relativeHeight="0" simplePos="0">
                <wp:simplePos x="0" y="0"/>
                <wp:positionH relativeFrom="column">
                  <wp:posOffset>-73976</wp:posOffset>
                </wp:positionH>
                <wp:positionV relativeFrom="paragraph">
                  <wp:posOffset>13018</wp:posOffset>
                </wp:positionV>
                <wp:extent cx="246380" cy="246380"/>
                <wp:effectExtent b="0" l="0" r="0" t="0"/>
                <wp:wrapNone/>
                <wp:docPr id="5" name="image2.png"/>
                <a:graphic>
                  <a:graphicData uri="http://schemas.openxmlformats.org/drawingml/2006/picture">
                    <pic:pic>
                      <pic:nvPicPr>
                        <pic:cNvPr id="0" name="image2.png"/>
                        <pic:cNvPicPr preferRelativeResize="0"/>
                      </pic:nvPicPr>
                      <pic:blipFill>
                        <a:blip r:embed="rId10"/>
                        <a:srcRect/>
                        <a:stretch>
                          <a:fillRect/>
                        </a:stretch>
                      </pic:blipFill>
                      <pic:spPr>
                        <a:xfrm>
                          <a:off x="0" y="0"/>
                          <a:ext cx="246380" cy="246380"/>
                        </a:xfrm>
                        <a:prstGeom prst="rect"/>
                        <a:ln/>
                      </pic:spPr>
                    </pic:pic>
                  </a:graphicData>
                </a:graphic>
              </wp:anchor>
            </w:drawing>
          </mc:Fallback>
        </mc:AlternateContent>
      </w:r>
    </w:p>
    <w:p w:rsidR="00000000" w:rsidDel="00000000" w:rsidP="00000000" w:rsidRDefault="00000000" w:rsidRPr="00000000" w14:paraId="00000042">
      <w:pPr>
        <w:spacing w:after="120" w:before="0" w:lineRule="auto"/>
        <w:ind w:left="426" w:firstLine="0"/>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3">
      <w:pPr>
        <w:spacing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4">
      <w:pPr>
        <w:spacing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Signed:                                                                                                         Date:                                         </w:t>
      </w:r>
    </w:p>
    <w:p w:rsidR="00000000" w:rsidDel="00000000" w:rsidP="00000000" w:rsidRDefault="00000000" w:rsidRPr="00000000" w14:paraId="00000045">
      <w:pPr>
        <w:spacing w:line="360" w:lineRule="auto"/>
        <w:jc w:val="both"/>
        <w:rPr>
          <w:rFonts w:ascii="Arial" w:cs="Arial" w:eastAsia="Arial" w:hAnsi="Arial"/>
          <w:b w:val="1"/>
          <w:bCs w:val="1"/>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46">
      <w:pPr>
        <w:spacing w:after="0" w:before="0" w:line="360" w:lineRule="auto"/>
        <w:jc w:val="both"/>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Appendix: Eligibility criteria for the Geochemistry Group Postdoctoral Researcher Medal</w:t>
      </w:r>
    </w:p>
    <w:p w:rsidR="00000000" w:rsidDel="00000000" w:rsidP="00000000" w:rsidRDefault="00000000" w:rsidRPr="00000000" w14:paraId="00000047">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Applicants must be nominated by one letter of support. Applicants are responsible for obtaining the letter of support and must send it alongside a completed application form and an electronic copy of the nominated publication to the Geochemistry Group Secretary before the application deadline. The nomination letter must not exceed one side of A4 and should state how the publication (not the nominee) is innovative, novel and significant within its field.</w:t>
      </w:r>
    </w:p>
    <w:p w:rsidR="00000000" w:rsidDel="00000000" w:rsidP="00000000" w:rsidRDefault="00000000" w:rsidRPr="00000000" w14:paraId="00000048">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The applicant must be the first author of the nominated paper.</w:t>
      </w:r>
    </w:p>
    <w:p w:rsidR="00000000" w:rsidDel="00000000" w:rsidP="00000000" w:rsidRDefault="00000000" w:rsidRPr="00000000" w14:paraId="00000049">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Applicants must be based at a university or research institution within the U.K. or Ireland.</w:t>
      </w:r>
    </w:p>
    <w:p w:rsidR="00000000" w:rsidDel="00000000" w:rsidP="00000000" w:rsidRDefault="00000000" w:rsidRPr="00000000" w14:paraId="0000004A">
      <w:pPr>
        <w:numPr>
          <w:ilvl w:val="0"/>
          <w:numId w:val="1"/>
        </w:numPr>
        <w:tabs>
          <w:tab w:val="left" w:leader="none" w:pos="284"/>
        </w:tabs>
        <w:spacing w:after="0" w:before="120" w:lineRule="auto"/>
        <w:ind w:left="284" w:hanging="284"/>
        <w:jc w:val="both"/>
        <w:rPr>
          <w:shd w:fill="auto" w:val="clear"/>
        </w:rPr>
      </w:pPr>
      <w:r w:rsidDel="00000000" w:rsidR="00000000" w:rsidRPr="00000000">
        <w:rPr>
          <w:rFonts w:ascii="Arial" w:cs="Arial" w:eastAsia="Arial" w:hAnsi="Arial"/>
          <w:sz w:val="20"/>
          <w:szCs w:val="20"/>
          <w:rtl w:val="0"/>
        </w:rPr>
        <w:t xml:space="preserve">Applicants m</w:t>
      </w:r>
      <w:r w:rsidDel="00000000" w:rsidR="00000000" w:rsidRPr="00000000">
        <w:rPr>
          <w:rFonts w:ascii="Arial" w:cs="Arial" w:eastAsia="Arial" w:hAnsi="Arial"/>
          <w:sz w:val="20"/>
          <w:szCs w:val="20"/>
          <w:shd w:fill="auto" w:val="clear"/>
          <w:rtl w:val="0"/>
        </w:rPr>
        <w:t xml:space="preserve">ust hold a PhD at the time of applying and not have a permanent contract at their institution. Postdoctoral Research Associates (PDRAs)</w:t>
      </w:r>
      <w:r w:rsidDel="00000000" w:rsidR="00000000" w:rsidRPr="00000000">
        <w:rPr>
          <w:rFonts w:ascii="Arial" w:cs="Arial" w:eastAsia="Arial" w:hAnsi="Arial"/>
          <w:sz w:val="20"/>
          <w:szCs w:val="20"/>
          <w:rtl w:val="0"/>
        </w:rPr>
        <w:t xml:space="preserve">,</w:t>
      </w:r>
      <w:r w:rsidDel="00000000" w:rsidR="00000000" w:rsidRPr="00000000">
        <w:rPr>
          <w:rFonts w:ascii="Arial" w:cs="Arial" w:eastAsia="Arial" w:hAnsi="Arial"/>
          <w:sz w:val="20"/>
          <w:szCs w:val="20"/>
          <w:shd w:fill="auto" w:val="clear"/>
          <w:rtl w:val="0"/>
        </w:rPr>
        <w:t xml:space="preserve"> University Research Fellows (URFs) and researchers with institutional or alternative funding sources are all welcome to apply, but researchers holding Independent Research Fellowships (e.g. NERC fellows or Royal Society URFs) are not eligible for the award.</w:t>
      </w:r>
      <w:r w:rsidDel="00000000" w:rsidR="00000000" w:rsidRPr="00000000">
        <w:rPr>
          <w:rtl w:val="0"/>
        </w:rPr>
      </w:r>
    </w:p>
    <w:p w:rsidR="00000000" w:rsidDel="00000000" w:rsidP="00000000" w:rsidRDefault="00000000" w:rsidRPr="00000000" w14:paraId="0000004B">
      <w:pPr>
        <w:numPr>
          <w:ilvl w:val="0"/>
          <w:numId w:val="1"/>
        </w:numPr>
        <w:tabs>
          <w:tab w:val="left" w:leader="none" w:pos="284"/>
        </w:tabs>
        <w:spacing w:after="0" w:before="120" w:lineRule="auto"/>
        <w:ind w:left="284" w:hanging="284"/>
        <w:jc w:val="both"/>
        <w:rPr>
          <w:color w:val="000000"/>
        </w:rPr>
      </w:pPr>
      <w:r w:rsidDel="00000000" w:rsidR="00000000" w:rsidRPr="00000000">
        <w:rPr>
          <w:rFonts w:ascii="Arial" w:cs="Arial" w:eastAsia="Arial" w:hAnsi="Arial"/>
          <w:color w:val="000000"/>
          <w:sz w:val="20"/>
          <w:szCs w:val="20"/>
          <w:rtl w:val="0"/>
        </w:rPr>
        <w:t xml:space="preserve">The research presented in the paper submitted for the award may have been undertaken </w:t>
      </w:r>
      <w:r w:rsidDel="00000000" w:rsidR="00000000" w:rsidRPr="00000000">
        <w:rPr>
          <w:rFonts w:ascii="Arial" w:cs="Arial" w:eastAsia="Arial" w:hAnsi="Arial"/>
          <w:sz w:val="20"/>
          <w:szCs w:val="20"/>
          <w:rtl w:val="0"/>
        </w:rPr>
        <w:t xml:space="preserve">during</w:t>
      </w:r>
      <w:r w:rsidDel="00000000" w:rsidR="00000000" w:rsidRPr="00000000">
        <w:rPr>
          <w:rFonts w:ascii="Arial" w:cs="Arial" w:eastAsia="Arial" w:hAnsi="Arial"/>
          <w:color w:val="000000"/>
          <w:sz w:val="20"/>
          <w:szCs w:val="20"/>
          <w:rtl w:val="0"/>
        </w:rPr>
        <w:t xml:space="preserve"> the PhD of the applicant.</w:t>
      </w:r>
    </w:p>
    <w:p w:rsidR="00000000" w:rsidDel="00000000" w:rsidP="00000000" w:rsidRDefault="00000000" w:rsidRPr="00000000" w14:paraId="0000004C">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Applicants who attain a permanent position or independent research fellowship </w:t>
      </w:r>
      <w:r w:rsidDel="00000000" w:rsidR="00000000" w:rsidRPr="00000000">
        <w:rPr>
          <w:rFonts w:ascii="Arial" w:cs="Arial" w:eastAsia="Arial" w:hAnsi="Arial"/>
          <w:b w:val="1"/>
          <w:bCs w:val="1"/>
          <w:sz w:val="20"/>
          <w:szCs w:val="20"/>
          <w:rtl w:val="0"/>
        </w:rPr>
        <w:t xml:space="preserve">after </w:t>
      </w:r>
      <w:r w:rsidDel="00000000" w:rsidR="00000000" w:rsidRPr="00000000">
        <w:rPr>
          <w:rFonts w:ascii="Arial" w:cs="Arial" w:eastAsia="Arial" w:hAnsi="Arial"/>
          <w:sz w:val="20"/>
          <w:szCs w:val="20"/>
          <w:rtl w:val="0"/>
        </w:rPr>
        <w:t xml:space="preserve">the application deadline has passed will still be considered for the award.</w:t>
      </w:r>
    </w:p>
    <w:p w:rsidR="00000000" w:rsidDel="00000000" w:rsidP="00000000" w:rsidRDefault="00000000" w:rsidRPr="00000000" w14:paraId="0000004D">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If an applicant moves abroad after submitting an application, they are required to inform the Geochemistry Group. </w:t>
      </w:r>
    </w:p>
    <w:p w:rsidR="00000000" w:rsidDel="00000000" w:rsidP="00000000" w:rsidRDefault="00000000" w:rsidRPr="00000000" w14:paraId="0000004E">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Nominated papers will be judged by the Geochemistry Group committee according to their innovation, novelty and significance to the field. It is stressed that the journal’s impact factor will not be considered. </w:t>
      </w:r>
    </w:p>
    <w:p w:rsidR="00000000" w:rsidDel="00000000" w:rsidP="00000000" w:rsidRDefault="00000000" w:rsidRPr="00000000" w14:paraId="0000004F">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There is one application round per year, with a deadline of 15</w:t>
      </w:r>
      <w:r w:rsidDel="00000000" w:rsidR="00000000" w:rsidRPr="00000000">
        <w:rPr>
          <w:rFonts w:ascii="Arial" w:cs="Arial" w:eastAsia="Arial" w:hAnsi="Arial"/>
          <w:sz w:val="20"/>
          <w:szCs w:val="20"/>
          <w:vertAlign w:val="superscript"/>
          <w:rtl w:val="0"/>
        </w:rPr>
        <w:t xml:space="preserve">th</w:t>
      </w:r>
      <w:r w:rsidDel="00000000" w:rsidR="00000000" w:rsidRPr="00000000">
        <w:rPr>
          <w:rFonts w:ascii="Arial" w:cs="Arial" w:eastAsia="Arial" w:hAnsi="Arial"/>
          <w:sz w:val="20"/>
          <w:szCs w:val="20"/>
          <w:rtl w:val="0"/>
        </w:rPr>
        <w:t xml:space="preserve"> January.</w:t>
      </w:r>
    </w:p>
    <w:p w:rsidR="00000000" w:rsidDel="00000000" w:rsidP="00000000" w:rsidRDefault="00000000" w:rsidRPr="00000000" w14:paraId="00000050">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The nominated paper must have a DOI from the previous calendar year (i.e. for applications submitted for the January 2016 deadline, the paper must have a 2015 DOI). Papers are considered published once the DOI is available (i.e. accepted but non-proof ready articles that are available online are eligible for the award).</w:t>
      </w:r>
    </w:p>
    <w:p w:rsidR="00000000" w:rsidDel="00000000" w:rsidP="00000000" w:rsidRDefault="00000000" w:rsidRPr="00000000" w14:paraId="00000051">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Applicants will be notified of the outcome of their application within 30 days of the submission deadline.</w:t>
      </w:r>
    </w:p>
    <w:p w:rsidR="00000000" w:rsidDel="00000000" w:rsidP="00000000" w:rsidRDefault="00000000" w:rsidRPr="00000000" w14:paraId="00000052">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The</w:t>
      </w:r>
      <w:r w:rsidDel="00000000" w:rsidR="00000000" w:rsidRPr="00000000">
        <w:rPr>
          <w:rFonts w:ascii="Arial" w:cs="Arial" w:eastAsia="Arial" w:hAnsi="Arial"/>
          <w:sz w:val="20"/>
          <w:szCs w:val="20"/>
          <w:rtl w:val="0"/>
        </w:rPr>
        <w:t xml:space="preserve"> medal and</w:t>
      </w:r>
      <w:r w:rsidDel="00000000" w:rsidR="00000000" w:rsidRPr="00000000">
        <w:rPr>
          <w:rFonts w:ascii="Arial" w:cs="Arial" w:eastAsia="Arial" w:hAnsi="Arial"/>
          <w:sz w:val="20"/>
          <w:szCs w:val="20"/>
          <w:rtl w:val="0"/>
        </w:rPr>
        <w:t xml:space="preserve"> certificate will be awarded to the successful applicant at the following Geochemistry Group’s Research in Progress meeting, which is usually held in March/April (see the website for further information). It is also expected that the successful candidate will present a keynote seminar at this meeting.</w:t>
      </w:r>
    </w:p>
    <w:p w:rsidR="00000000" w:rsidDel="00000000" w:rsidP="00000000" w:rsidRDefault="00000000" w:rsidRPr="00000000" w14:paraId="00000053">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No financial award is associated with the medal, other than free-registration for the GGRIP meeting where the award will be presented and reimbursement of travel and accommodation to attend that meeting.</w:t>
      </w:r>
    </w:p>
    <w:p w:rsidR="00000000" w:rsidDel="00000000" w:rsidP="00000000" w:rsidRDefault="00000000" w:rsidRPr="00000000" w14:paraId="00000054">
      <w:pPr>
        <w:numPr>
          <w:ilvl w:val="0"/>
          <w:numId w:val="1"/>
        </w:numPr>
        <w:tabs>
          <w:tab w:val="left" w:leader="none" w:pos="284"/>
        </w:tabs>
        <w:spacing w:after="0" w:before="120" w:lineRule="auto"/>
        <w:ind w:left="284" w:hanging="284"/>
        <w:jc w:val="both"/>
        <w:rPr/>
      </w:pPr>
      <w:r w:rsidDel="00000000" w:rsidR="00000000" w:rsidRPr="00000000">
        <w:rPr>
          <w:rFonts w:ascii="Arial" w:cs="Arial" w:eastAsia="Arial" w:hAnsi="Arial"/>
          <w:sz w:val="20"/>
          <w:szCs w:val="20"/>
          <w:rtl w:val="0"/>
        </w:rPr>
        <w:t xml:space="preserve">Members of the Geochemistry Group steering committee are allowed to apply to the Group's bursaries and awards under the following conditions:</w:t>
      </w:r>
    </w:p>
    <w:p w:rsidR="00000000" w:rsidDel="00000000" w:rsidP="00000000" w:rsidRDefault="00000000" w:rsidRPr="00000000" w14:paraId="00000055">
      <w:pPr>
        <w:widowControl w:val="1"/>
        <w:numPr>
          <w:ilvl w:val="1"/>
          <w:numId w:val="1"/>
        </w:numPr>
        <w:tabs>
          <w:tab w:val="left" w:leader="none" w:pos="284"/>
        </w:tabs>
        <w:spacing w:after="0" w:before="120" w:lineRule="auto"/>
        <w:ind w:left="850" w:right="0" w:hanging="283"/>
        <w:jc w:val="both"/>
        <w:rPr>
          <w:sz w:val="20"/>
          <w:szCs w:val="20"/>
        </w:rPr>
      </w:pPr>
      <w:r w:rsidDel="00000000" w:rsidR="00000000" w:rsidRPr="00000000">
        <w:rPr>
          <w:rFonts w:ascii="Arial" w:cs="Arial" w:eastAsia="Arial" w:hAnsi="Arial"/>
          <w:sz w:val="20"/>
          <w:szCs w:val="20"/>
          <w:rtl w:val="0"/>
        </w:rPr>
        <w:t xml:space="preserve">They will have to step out of the meeting for the discussion where their application is reviewed.</w:t>
      </w:r>
      <w:r w:rsidDel="00000000" w:rsidR="00000000" w:rsidRPr="00000000">
        <w:rPr>
          <w:rtl w:val="0"/>
        </w:rPr>
      </w:r>
    </w:p>
    <w:p w:rsidR="00000000" w:rsidDel="00000000" w:rsidP="00000000" w:rsidRDefault="00000000" w:rsidRPr="00000000" w14:paraId="00000056">
      <w:pPr>
        <w:widowControl w:val="1"/>
        <w:numPr>
          <w:ilvl w:val="1"/>
          <w:numId w:val="1"/>
        </w:numPr>
        <w:tabs>
          <w:tab w:val="left" w:leader="none" w:pos="284"/>
        </w:tabs>
        <w:spacing w:after="0" w:before="120" w:lineRule="auto"/>
        <w:ind w:left="850" w:right="0" w:hanging="283"/>
        <w:jc w:val="both"/>
        <w:rPr>
          <w:sz w:val="20"/>
          <w:szCs w:val="20"/>
        </w:rPr>
      </w:pPr>
      <w:r w:rsidDel="00000000" w:rsidR="00000000" w:rsidRPr="00000000">
        <w:rPr>
          <w:rFonts w:ascii="Arial" w:cs="Arial" w:eastAsia="Arial" w:hAnsi="Arial"/>
          <w:sz w:val="20"/>
          <w:szCs w:val="20"/>
          <w:rtl w:val="0"/>
        </w:rPr>
        <w:t xml:space="preserve">They may not apply to more than one award/bursary in a given year.</w:t>
      </w:r>
      <w:r w:rsidDel="00000000" w:rsidR="00000000" w:rsidRPr="00000000">
        <w:rPr>
          <w:rtl w:val="0"/>
        </w:rPr>
      </w:r>
    </w:p>
    <w:p w:rsidR="00000000" w:rsidDel="00000000" w:rsidP="00000000" w:rsidRDefault="00000000" w:rsidRPr="00000000" w14:paraId="00000057">
      <w:pPr>
        <w:widowControl w:val="1"/>
        <w:numPr>
          <w:ilvl w:val="1"/>
          <w:numId w:val="1"/>
        </w:numPr>
        <w:tabs>
          <w:tab w:val="left" w:leader="none" w:pos="284"/>
        </w:tabs>
        <w:spacing w:after="0" w:before="120" w:lineRule="auto"/>
        <w:ind w:left="850" w:right="0" w:hanging="283"/>
        <w:jc w:val="both"/>
        <w:rPr>
          <w:sz w:val="20"/>
          <w:szCs w:val="20"/>
        </w:rPr>
      </w:pPr>
      <w:r w:rsidDel="00000000" w:rsidR="00000000" w:rsidRPr="00000000">
        <w:rPr>
          <w:rFonts w:ascii="Arial" w:cs="Arial" w:eastAsia="Arial" w:hAnsi="Arial"/>
          <w:sz w:val="20"/>
          <w:szCs w:val="20"/>
          <w:rtl w:val="0"/>
        </w:rPr>
        <w:t xml:space="preserve">They may not apply to any Geochemistry Group funding while in receipt of a live award.</w:t>
      </w:r>
      <w:r w:rsidDel="00000000" w:rsidR="00000000" w:rsidRPr="00000000">
        <w:rPr>
          <w:rtl w:val="0"/>
        </w:rPr>
      </w:r>
    </w:p>
    <w:sectPr>
      <w:pgSz w:h="16838" w:w="11906" w:orient="portrait"/>
      <w:pgMar w:bottom="1134" w:top="1134" w:left="1134" w:right="1134" w:header="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ourier New"/>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Times"/>
  <w:font w:name="Noto Sans Symbols">
    <w:embedRegular w:fontKey="{00000000-0000-0000-0000-000000000000}" r:id="rId5" w:subsetted="0"/>
    <w:embedBold w:fontKey="{00000000-0000-0000-0000-000000000000}" r:id="rId6"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b w:val="0"/>
        <w:bCs w:val="0"/>
        <w:sz w:val="20"/>
        <w:szCs w:val="20"/>
      </w:rPr>
    </w:lvl>
    <w:lvl w:ilvl="1">
      <w:start w:val="1"/>
      <w:numFmt w:val="bullet"/>
      <w:lvlText w:val="○"/>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0" w:firstLine="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qFormat w:val="1"/>
    <w:rPr/>
  </w:style>
  <w:style w:type="character" w:styleId="HeaderChar" w:customStyle="1">
    <w:name w:val="Header Char"/>
    <w:link w:val="Header"/>
    <w:uiPriority w:val="99"/>
    <w:semiHidden w:val="1"/>
    <w:qFormat w:val="1"/>
    <w:rPr>
      <w:sz w:val="24"/>
      <w:szCs w:val="24"/>
      <w:lang w:eastAsia="en-GB"/>
    </w:rPr>
  </w:style>
  <w:style w:type="character" w:styleId="Hyperlink">
    <w:name w:val="Hyperlink"/>
    <w:uiPriority w:val="99"/>
    <w:rsid w:val="002D3896"/>
    <w:rPr>
      <w:color w:val="0000ff"/>
      <w:u w:val="single"/>
    </w:rPr>
  </w:style>
  <w:style w:type="character" w:styleId="HTMLPreformattedChar" w:customStyle="1">
    <w:name w:val="HTML Preformatted Char"/>
    <w:link w:val="HTMLPreformatted"/>
    <w:uiPriority w:val="99"/>
    <w:semiHidden w:val="1"/>
    <w:qFormat w:val="1"/>
    <w:rPr>
      <w:rFonts w:ascii="Courier" w:hAnsi="Courier"/>
      <w:lang w:eastAsia="en-GB"/>
    </w:rPr>
  </w:style>
  <w:style w:type="character" w:styleId="DocumentMapChar" w:customStyle="1">
    <w:name w:val="Document Map Char"/>
    <w:link w:val="DocumentMap"/>
    <w:uiPriority w:val="99"/>
    <w:semiHidden w:val="1"/>
    <w:qFormat w:val="1"/>
    <w:rPr>
      <w:rFonts w:ascii="Lucida Grande" w:cs="Lucida Grande" w:hAnsi="Lucida Grande"/>
      <w:sz w:val="24"/>
      <w:szCs w:val="24"/>
      <w:lang w:eastAsia="en-GB"/>
    </w:rPr>
  </w:style>
  <w:style w:type="character" w:styleId="FollowedHyperlink">
    <w:name w:val="FollowedHyperlink"/>
    <w:uiPriority w:val="99"/>
    <w:semiHidden w:val="1"/>
    <w:unhideWhenUsed w:val="1"/>
    <w:rsid w:val="000667ED"/>
    <w:rPr>
      <w:color w:val="800080"/>
      <w:u w:val="single"/>
    </w:rPr>
  </w:style>
  <w:style w:type="character" w:styleId="BalloonTextChar" w:customStyle="1">
    <w:name w:val="Balloon Text Char"/>
    <w:link w:val="BalloonText"/>
    <w:uiPriority w:val="99"/>
    <w:semiHidden w:val="1"/>
    <w:qFormat w:val="1"/>
    <w:rsid w:val="00981AA8"/>
    <w:rPr>
      <w:rFonts w:ascii="Lucida Grande" w:cs="Lucida Grande" w:hAnsi="Lucida Grande"/>
      <w:sz w:val="18"/>
      <w:szCs w:val="18"/>
      <w:lang w:eastAsia="en-GB"/>
    </w:rPr>
  </w:style>
  <w:style w:type="paragraph" w:styleId="Heading">
    <w:name w:val="Heading"/>
    <w:basedOn w:val="Normal"/>
    <w:next w:val="BodyText"/>
    <w:qFormat w:val="1"/>
    <w:pPr>
      <w:keepNext w:val="1"/>
      <w:spacing w:after="120" w:before="240"/>
    </w:pPr>
    <w:rPr>
      <w:rFonts w:ascii="Liberation Sans" w:cs="Noto Sans Devanagari" w:eastAsia="Noto Sans CJK SC" w:hAnsi="Liberation Sans"/>
      <w:sz w:val="28"/>
      <w:szCs w:val="28"/>
    </w:rPr>
  </w:style>
  <w:style w:type="paragraph" w:styleId="BodyText">
    <w:name w:val="Body Text"/>
    <w:basedOn w:val="Normal"/>
    <w:pPr>
      <w:spacing w:after="140" w:before="0" w:line="276" w:lineRule="auto"/>
    </w:pPr>
    <w:rPr/>
  </w:style>
  <w:style w:type="paragraph" w:styleId="List">
    <w:name w:val="List"/>
    <w:basedOn w:val="BodyText"/>
    <w:pPr/>
    <w:rPr>
      <w:rFonts w:cs="Noto Sans Devanagari"/>
    </w:rPr>
  </w:style>
  <w:style w:type="paragraph" w:styleId="Caption">
    <w:name w:val="Caption"/>
    <w:basedOn w:val="Normal"/>
    <w:qFormat w:val="1"/>
    <w:pPr>
      <w:suppressLineNumbers w:val="1"/>
      <w:spacing w:after="120" w:before="120"/>
    </w:pPr>
    <w:rPr>
      <w:rFonts w:cs="Noto Sans Devanagari"/>
      <w:i w:val="1"/>
      <w:iCs w:val="1"/>
      <w:sz w:val="24"/>
      <w:szCs w:val="24"/>
    </w:rPr>
  </w:style>
  <w:style w:type="paragraph" w:styleId="Index">
    <w:name w:val="Index"/>
    <w:basedOn w:val="Normal"/>
    <w:qFormat w:val="1"/>
    <w:pPr>
      <w:suppressLineNumbers w:val="1"/>
    </w:pPr>
    <w:rPr>
      <w:rFonts w:cs="Noto Sans Devanagari"/>
    </w:rPr>
  </w:style>
  <w:style w:type="paragraph" w:styleId="HeaderandFooter">
    <w:name w:val="Header and Footer"/>
    <w:basedOn w:val="Normal"/>
    <w:qFormat w:val="1"/>
    <w:pPr/>
    <w:rPr/>
  </w:style>
  <w:style w:type="paragraph" w:styleId="Header">
    <w:name w:val="Header"/>
    <w:basedOn w:val="Normal"/>
    <w:link w:val="HeaderChar"/>
    <w:uiPriority w:val="99"/>
    <w:rsid w:val="002D3896"/>
    <w:pPr>
      <w:tabs>
        <w:tab w:val="clear" w:pos="720"/>
        <w:tab w:val="center" w:leader="none" w:pos="4252"/>
        <w:tab w:val="right" w:leader="none" w:pos="8504"/>
      </w:tabs>
    </w:pPr>
    <w:rPr>
      <w:rFonts w:ascii="Times" w:cs="Times" w:hAnsi="Times"/>
      <w:lang w:val="en-US"/>
    </w:rPr>
  </w:style>
  <w:style w:type="paragraph" w:styleId="HTMLPreformatted">
    <w:name w:val="HTML Preformatted"/>
    <w:basedOn w:val="Normal"/>
    <w:link w:val="HTMLPreformattedChar"/>
    <w:uiPriority w:val="99"/>
    <w:qFormat w:val="1"/>
    <w:rsid w:val="00123BC8"/>
    <w:pPr>
      <w:tabs>
        <w:tab w:val="clear" w:pos="720"/>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pPr>
    <w:rPr>
      <w:rFonts w:ascii="Courier New" w:cs="Courier New" w:hAnsi="Courier New"/>
      <w:sz w:val="20"/>
      <w:szCs w:val="20"/>
      <w:lang w:eastAsia="en-US" w:val="en-US"/>
    </w:rPr>
  </w:style>
  <w:style w:type="paragraph" w:styleId="DocumentMap">
    <w:name w:val="Document Map"/>
    <w:basedOn w:val="Normal"/>
    <w:link w:val="DocumentMapChar"/>
    <w:uiPriority w:val="99"/>
    <w:semiHidden w:val="1"/>
    <w:qFormat w:val="1"/>
    <w:rsid w:val="00853650"/>
    <w:pPr>
      <w:shd w:color="auto" w:fill="000080" w:val="clear"/>
    </w:pPr>
    <w:rPr>
      <w:rFonts w:ascii="Tahoma" w:cs="Tahoma" w:hAnsi="Tahoma"/>
    </w:rPr>
  </w:style>
  <w:style w:type="paragraph" w:styleId="BalloonText">
    <w:name w:val="Balloon Text"/>
    <w:basedOn w:val="Normal"/>
    <w:link w:val="BalloonTextChar"/>
    <w:uiPriority w:val="99"/>
    <w:semiHidden w:val="1"/>
    <w:unhideWhenUsed w:val="1"/>
    <w:qFormat w:val="1"/>
    <w:rsid w:val="00981AA8"/>
    <w:pPr/>
    <w:rPr>
      <w:rFonts w:ascii="Lucida Grande" w:cs="Lucida Grande" w:hAnsi="Lucida Grande"/>
      <w:sz w:val="18"/>
      <w:szCs w:val="18"/>
    </w:rPr>
  </w:style>
  <w:style w:type="paragraph" w:styleId="FrameContents">
    <w:name w:val="Frame Contents"/>
    <w:basedOn w:val="Normal"/>
    <w:qFormat w:val="1"/>
    <w:pPr/>
    <w:rPr/>
  </w:style>
  <w:style w:type="numbering" w:styleId="NoList" w:default="1">
    <w:name w:val="No List"/>
    <w:uiPriority w:val="99"/>
    <w:semiHidden w:val="1"/>
    <w:unhideWhenUsed w:val="1"/>
    <w:qFormat w:val="1"/>
  </w:style>
  <w:style w:type="table" w:styleId="TableNormal" w:default="1">
    <w:name w:val="Normal Table"/>
    <w:uiPriority w:val="99"/>
    <w:semiHidden w:val="1"/>
    <w:unhideWhenUsed w:val="1"/>
    <w:tblPr>
      <w:tblCellMar>
        <w:top w:w="0.0" w:type="dxa"/>
        <w:left w:w="108.0" w:type="dxa"/>
        <w:bottom w:w="0.0" w:type="dxa"/>
        <w:right w:w="108.0" w:type="dxa"/>
      </w:tblCellMar>
    </w:tblPr>
  </w:style>
  <w:style w:type="table" w:styleId="TableGrid">
    <w:name w:val="Table Grid"/>
    <w:basedOn w:val="TableNormal"/>
    <w:uiPriority w:val="99"/>
    <w:rsid w:val="00DB5A86"/>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80.0" w:type="dxa"/>
        <w:bottom w:w="0.0" w:type="dxa"/>
        <w:right w:w="80.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hyperlink" Target="http://www.geochemistry.group/"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mailto:mlb63@cam.ac.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uLdp35wgtuJ8KniB7ZH0IScaUxA==">CgMxLjA4AHIhMTcwM2hIMEVoZ2l0YXVZLVA3VVZzc1ZiRDg4QXFxTUky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2024-10-23T15:59:00Z</dcterms:created>
  <dc:creator>Kathryn Linge</dc:creator>
</cp:coreProperties>
</file>

<file path=docProps/custom.xml><?xml version="1.0" encoding="utf-8"?>
<Properties xmlns="http://schemas.openxmlformats.org/officeDocument/2006/custom-properties" xmlns:vt="http://schemas.openxmlformats.org/officeDocument/2006/docPropsVTypes"/>
</file>