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shd w:val="clear" w:fill="auto"/>
        <w:spacing w:lineRule="auto" w:line="276" w:before="0" w:after="0"/>
        <w:ind w:hanging="0" w:left="0" w:right="0"/>
        <w:jc w:val="left"/>
        <w:rPr>
          <w:rFonts w:ascii="Arial" w:hAnsi="Arial" w:eastAsia="Arial" w:cs="Arial"/>
          <w:b w:val="false"/>
          <w:i w:val="false"/>
          <w:i w:val="false"/>
          <w:caps w:val="false"/>
          <w:smallCaps w:val="false"/>
          <w:strike w:val="false"/>
          <w:dstrike w:val="false"/>
          <w:color w:val="000000"/>
          <w:position w:val="0"/>
          <w:sz w:val="22"/>
          <w:sz w:val="22"/>
          <w:szCs w:val="22"/>
          <w:u w:val="none"/>
          <w:shd w:fill="auto"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auto" w:val="clear"/>
          <w:vertAlign w:val="baseline"/>
        </w:rPr>
      </w:r>
    </w:p>
    <w:tbl>
      <w:tblPr>
        <w:tblStyle w:val="Table1"/>
        <w:tblpPr w:vertAnchor="text" w:horzAnchor="text" w:leftFromText="180" w:rightFromText="180" w:tblpX="0" w:tblpY="1"/>
        <w:tblW w:w="3340" w:type="dxa"/>
        <w:jc w:val="left"/>
        <w:tblInd w:w="108" w:type="dxa"/>
        <w:tblLayout w:type="fixed"/>
        <w:tblCellMar>
          <w:top w:w="0" w:type="dxa"/>
          <w:left w:w="108" w:type="dxa"/>
          <w:bottom w:w="0" w:type="dxa"/>
          <w:right w:w="108" w:type="dxa"/>
        </w:tblCellMar>
        <w:tblLook w:val="0000"/>
      </w:tblPr>
      <w:tblGrid>
        <w:gridCol w:w="1639"/>
        <w:gridCol w:w="1700"/>
      </w:tblGrid>
      <w:tr>
        <w:trPr>
          <w:cantSplit w:val="true"/>
        </w:trPr>
        <w:tc>
          <w:tcPr>
            <w:tcW w:w="1639" w:type="dxa"/>
            <w:tcBorders>
              <w:top w:val="single" w:sz="12" w:space="0" w:color="000000"/>
              <w:left w:val="single" w:sz="12" w:space="0" w:color="000000"/>
            </w:tcBorders>
          </w:tcPr>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0" w:right="0"/>
              <w:jc w:val="left"/>
              <w:rPr>
                <w:rFonts w:ascii="Times" w:hAnsi="Times" w:eastAsia="Times" w:cs="Times"/>
                <w:b w:val="false"/>
                <w:i w:val="false"/>
                <w:i w:val="false"/>
                <w:caps w:val="false"/>
                <w:smallCaps w:val="false"/>
                <w:strike w:val="false"/>
                <w:dstrike w:val="false"/>
                <w:color w:val="000000"/>
                <w:position w:val="0"/>
                <w:sz w:val="24"/>
                <w:sz w:val="24"/>
                <w:szCs w:val="24"/>
                <w:u w:val="none"/>
                <w:shd w:fill="auto" w:val="clear"/>
                <w:vertAlign w:val="baseline"/>
              </w:rPr>
            </w:pPr>
            <w:r>
              <w:rPr/>
              <w:drawing>
                <wp:inline distT="0" distB="0" distL="0" distR="0">
                  <wp:extent cx="914400" cy="914400"/>
                  <wp:effectExtent l="0" t="0" r="0" b="0"/>
                  <wp:docPr id="1" name="image4.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jpg" descr=""/>
                          <pic:cNvPicPr>
                            <a:picLocks noChangeAspect="1" noChangeArrowheads="1"/>
                          </pic:cNvPicPr>
                        </pic:nvPicPr>
                        <pic:blipFill>
                          <a:blip r:embed="rId2"/>
                          <a:stretch>
                            <a:fillRect/>
                          </a:stretch>
                        </pic:blipFill>
                        <pic:spPr bwMode="auto">
                          <a:xfrm>
                            <a:off x="0" y="0"/>
                            <a:ext cx="914400" cy="914400"/>
                          </a:xfrm>
                          <a:prstGeom prst="rect">
                            <a:avLst/>
                          </a:prstGeom>
                        </pic:spPr>
                      </pic:pic>
                    </a:graphicData>
                  </a:graphic>
                </wp:inline>
              </w:drawing>
            </w:r>
          </w:p>
        </w:tc>
        <w:tc>
          <w:tcPr>
            <w:tcW w:w="1700" w:type="dxa"/>
            <w:tcBorders>
              <w:top w:val="single" w:sz="12" w:space="0" w:color="000000"/>
              <w:right w:val="single" w:sz="12" w:space="0" w:color="000000"/>
            </w:tcBorders>
          </w:tcPr>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120" w:after="0"/>
              <w:ind w:hanging="0" w:left="-142" w:right="0"/>
              <w:jc w:val="center"/>
              <w:rPr>
                <w:rFonts w:ascii="Arimo" w:hAnsi="Arimo" w:eastAsia="Arimo" w:cs="Arimo"/>
                <w:b/>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i w:val="false"/>
                <w:caps w:val="false"/>
                <w:smallCaps w:val="false"/>
                <w:strike w:val="false"/>
                <w:dstrike w:val="false"/>
                <w:color w:val="000000"/>
                <w:position w:val="0"/>
                <w:sz w:val="16"/>
                <w:sz w:val="16"/>
                <w:szCs w:val="16"/>
                <w:u w:val="none"/>
                <w:shd w:fill="auto" w:val="clear"/>
                <w:vertAlign w:val="baseline"/>
              </w:rPr>
              <w:t>Geochemistry</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60"/>
              <w:ind w:hanging="0" w:left="-142"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i w:val="false"/>
                <w:caps w:val="false"/>
                <w:smallCaps w:val="false"/>
                <w:strike w:val="false"/>
                <w:dstrike w:val="false"/>
                <w:color w:val="000000"/>
                <w:position w:val="0"/>
                <w:sz w:val="16"/>
                <w:sz w:val="16"/>
                <w:szCs w:val="16"/>
                <w:u w:val="none"/>
                <w:shd w:fill="auto" w:val="clear"/>
                <w:vertAlign w:val="baseline"/>
              </w:rPr>
              <w:t>Group</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140"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of the</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140"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Mineralogical</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140"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 xml:space="preserve"> </w:t>
            </w: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Society</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140"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and of the</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140"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Geological</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60"/>
              <w:ind w:hanging="0" w:left="-142" w:right="0"/>
              <w:jc w:val="center"/>
              <w:rPr>
                <w:rFonts w:ascii="Arimo" w:hAnsi="Arimo" w:eastAsia="Arimo" w:cs="Arimo"/>
                <w:b w:val="false"/>
                <w:i w:val="false"/>
                <w:i w:val="false"/>
                <w:caps w:val="false"/>
                <w:smallCaps w:val="false"/>
                <w:strike w:val="false"/>
                <w:dstrike w:val="false"/>
                <w:color w:val="000000"/>
                <w:position w:val="0"/>
                <w:sz w:val="20"/>
                <w:sz w:val="20"/>
                <w:szCs w:val="20"/>
                <w:u w:val="none"/>
                <w:shd w:fill="auto" w:val="clear"/>
                <w:vertAlign w:val="baseline"/>
              </w:rPr>
            </w:pPr>
            <w:r>
              <w:rPr>
                <w:rFonts w:eastAsia="Arimo" w:cs="Arimo" w:ascii="Arimo" w:hAnsi="Arimo"/>
                <w:b w:val="false"/>
                <w:i w:val="false"/>
                <w:caps w:val="false"/>
                <w:smallCaps w:val="false"/>
                <w:strike w:val="false"/>
                <w:dstrike w:val="false"/>
                <w:color w:val="000000"/>
                <w:position w:val="0"/>
                <w:sz w:val="16"/>
                <w:sz w:val="16"/>
                <w:szCs w:val="16"/>
                <w:u w:val="none"/>
                <w:shd w:fill="auto" w:val="clear"/>
                <w:vertAlign w:val="baseline"/>
              </w:rPr>
              <w:t>Society</w:t>
            </w:r>
          </w:p>
        </w:tc>
      </w:tr>
      <w:tr>
        <w:trPr>
          <w:cantSplit w:val="true"/>
        </w:trPr>
        <w:tc>
          <w:tcPr>
            <w:tcW w:w="3339" w:type="dxa"/>
            <w:gridSpan w:val="2"/>
            <w:tcBorders>
              <w:left w:val="single" w:sz="12" w:space="0" w:color="000000"/>
              <w:bottom w:val="single" w:sz="12" w:space="0" w:color="000000"/>
              <w:right w:val="single" w:sz="12" w:space="0" w:color="000000"/>
            </w:tcBorders>
          </w:tcPr>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0"/>
              <w:ind w:hanging="0" w:left="0" w:right="0"/>
              <w:jc w:val="center"/>
              <w:rPr>
                <w:rFonts w:ascii="Arimo" w:hAnsi="Arimo" w:eastAsia="Arimo" w:cs="Arimo"/>
                <w:b w:val="false"/>
                <w:i w:val="false"/>
                <w:i w:val="false"/>
                <w:caps w:val="false"/>
                <w:smallCaps w:val="false"/>
                <w:strike w:val="false"/>
                <w:dstrike w:val="false"/>
                <w:color w:val="000000"/>
                <w:position w:val="0"/>
                <w:sz w:val="14"/>
                <w:sz w:val="14"/>
                <w:szCs w:val="14"/>
                <w:u w:val="none"/>
                <w:shd w:fill="auto" w:val="clear"/>
                <w:vertAlign w:val="baseline"/>
              </w:rPr>
            </w:pPr>
            <w:r>
              <w:rPr>
                <w:rFonts w:eastAsia="Arimo" w:cs="Arimo" w:ascii="Arimo" w:hAnsi="Arimo"/>
                <w:b w:val="false"/>
                <w:i w:val="false"/>
                <w:caps w:val="false"/>
                <w:smallCaps w:val="false"/>
                <w:strike w:val="false"/>
                <w:dstrike w:val="false"/>
                <w:color w:val="000000"/>
                <w:position w:val="0"/>
                <w:sz w:val="14"/>
                <w:sz w:val="14"/>
                <w:szCs w:val="14"/>
                <w:u w:val="none"/>
                <w:shd w:fill="auto" w:val="clear"/>
                <w:vertAlign w:val="baseline"/>
              </w:rPr>
              <w:t xml:space="preserve">  </w:t>
            </w:r>
            <w:r>
              <w:rPr>
                <w:rFonts w:eastAsia="Arimo" w:cs="Arimo" w:ascii="Arimo" w:hAnsi="Arimo"/>
                <w:b w:val="false"/>
                <w:i w:val="false"/>
                <w:caps w:val="false"/>
                <w:smallCaps w:val="false"/>
                <w:strike w:val="false"/>
                <w:dstrike w:val="false"/>
                <w:color w:val="000000"/>
                <w:position w:val="0"/>
                <w:sz w:val="14"/>
                <w:sz w:val="14"/>
                <w:szCs w:val="14"/>
                <w:u w:val="none"/>
                <w:shd w:fill="auto" w:val="clear"/>
                <w:vertAlign w:val="baseline"/>
              </w:rPr>
              <w:t>Registered charity nos.</w:t>
            </w:r>
          </w:p>
          <w:p>
            <w:pPr>
              <w:pStyle w:val="normal1"/>
              <w:keepNext w:val="false"/>
              <w:keepLines w:val="false"/>
              <w:widowControl/>
              <w:shd w:val="clear" w:fill="auto"/>
              <w:tabs>
                <w:tab w:val="clear" w:pos="720"/>
                <w:tab w:val="center" w:pos="4252" w:leader="none"/>
                <w:tab w:val="right" w:pos="8504" w:leader="none"/>
                <w:tab w:val="right" w:pos="9100" w:leader="none"/>
              </w:tabs>
              <w:spacing w:lineRule="auto" w:line="240" w:before="0" w:after="60"/>
              <w:ind w:hanging="0" w:left="0" w:right="0"/>
              <w:jc w:val="center"/>
              <w:rPr>
                <w:rFonts w:ascii="Arimo" w:hAnsi="Arimo" w:eastAsia="Arimo" w:cs="Arimo"/>
                <w:b w:val="false"/>
                <w:i w:val="false"/>
                <w:i w:val="false"/>
                <w:caps w:val="false"/>
                <w:smallCaps w:val="false"/>
                <w:strike w:val="false"/>
                <w:dstrike w:val="false"/>
                <w:color w:val="000000"/>
                <w:position w:val="0"/>
                <w:sz w:val="16"/>
                <w:sz w:val="16"/>
                <w:szCs w:val="16"/>
                <w:u w:val="none"/>
                <w:shd w:fill="auto" w:val="clear"/>
                <w:vertAlign w:val="baseline"/>
              </w:rPr>
            </w:pPr>
            <w:r>
              <w:rPr>
                <w:rFonts w:eastAsia="Arimo" w:cs="Arimo" w:ascii="Arimo" w:hAnsi="Arimo"/>
                <w:b w:val="false"/>
                <w:i w:val="false"/>
                <w:caps w:val="false"/>
                <w:smallCaps w:val="false"/>
                <w:strike w:val="false"/>
                <w:dstrike w:val="false"/>
                <w:color w:val="000000"/>
                <w:position w:val="0"/>
                <w:sz w:val="14"/>
                <w:sz w:val="14"/>
                <w:szCs w:val="14"/>
                <w:u w:val="none"/>
                <w:shd w:fill="auto" w:val="clear"/>
                <w:vertAlign w:val="baseline"/>
              </w:rPr>
              <w:t>233706 &amp; 210161, respectively</w:t>
            </w:r>
          </w:p>
        </w:tc>
      </w:tr>
    </w:tbl>
    <w:p>
      <w:pPr>
        <w:pStyle w:val="normal1"/>
        <w:jc w:val="right"/>
        <w:rPr>
          <w:rFonts w:ascii="Arial" w:hAnsi="Arial" w:eastAsia="Arial" w:cs="Arial"/>
          <w:b/>
          <w:sz w:val="20"/>
          <w:szCs w:val="20"/>
        </w:rPr>
      </w:pPr>
      <w:r>
        <w:rPr>
          <w:rFonts w:eastAsia="Arial" w:cs="Arial" w:ascii="Arial" w:hAnsi="Arial"/>
          <w:b/>
          <w:sz w:val="20"/>
          <w:szCs w:val="20"/>
        </w:rPr>
        <w:t>Dr Marie-Laure Bagard</w:t>
      </w:r>
    </w:p>
    <w:p>
      <w:pPr>
        <w:pStyle w:val="normal1"/>
        <w:jc w:val="right"/>
        <w:rPr>
          <w:rFonts w:ascii="Arial" w:hAnsi="Arial" w:eastAsia="Arial" w:cs="Arial"/>
          <w:sz w:val="20"/>
          <w:szCs w:val="20"/>
        </w:rPr>
      </w:pPr>
      <w:r>
        <w:rPr>
          <w:rFonts w:eastAsia="Arial" w:cs="Arial" w:ascii="Arial" w:hAnsi="Arial"/>
          <w:sz w:val="20"/>
          <w:szCs w:val="20"/>
        </w:rPr>
        <w:t>Secretary of the Geochemistry Group</w:t>
      </w:r>
    </w:p>
    <w:p>
      <w:pPr>
        <w:pStyle w:val="normal1"/>
        <w:jc w:val="right"/>
        <w:rPr>
          <w:rFonts w:ascii="Arial" w:hAnsi="Arial" w:eastAsia="Arial" w:cs="Arial"/>
          <w:sz w:val="20"/>
          <w:szCs w:val="20"/>
        </w:rPr>
      </w:pPr>
      <w:r>
        <w:rPr>
          <w:rFonts w:eastAsia="Arial" w:cs="Arial" w:ascii="Arial" w:hAnsi="Arial"/>
          <w:sz w:val="20"/>
          <w:szCs w:val="20"/>
        </w:rPr>
      </w:r>
    </w:p>
    <w:p>
      <w:pPr>
        <w:pStyle w:val="normal1"/>
        <w:jc w:val="right"/>
        <w:rPr>
          <w:rFonts w:ascii="Arial" w:hAnsi="Arial" w:eastAsia="Arial" w:cs="Arial"/>
          <w:sz w:val="20"/>
          <w:szCs w:val="20"/>
        </w:rPr>
      </w:pPr>
      <w:r>
        <w:rPr>
          <w:rFonts w:eastAsia="Arial" w:cs="Arial" w:ascii="Arial" w:hAnsi="Arial"/>
          <w:sz w:val="20"/>
          <w:szCs w:val="20"/>
        </w:rPr>
        <w:t>Department of Earth Sciences</w:t>
        <w:br/>
        <w:t>University of Cambridge</w:t>
        <w:br/>
        <w:t>Downing Street Cambridge</w:t>
        <w:br/>
        <w:t>Cambridgeshire CB2 3EQ</w:t>
        <w:br/>
        <w:t>United Kingdom</w:t>
      </w:r>
    </w:p>
    <w:p>
      <w:pPr>
        <w:pStyle w:val="normal1"/>
        <w:jc w:val="right"/>
        <w:rPr>
          <w:rFonts w:ascii="Arial" w:hAnsi="Arial" w:eastAsia="Arial" w:cs="Arial"/>
          <w:sz w:val="20"/>
          <w:szCs w:val="20"/>
        </w:rPr>
      </w:pPr>
      <w:r>
        <w:rPr>
          <w:rFonts w:eastAsia="Arial" w:cs="Arial" w:ascii="Arial" w:hAnsi="Arial"/>
          <w:sz w:val="20"/>
          <w:szCs w:val="20"/>
        </w:rPr>
        <w:t>Tel: +44 (0)1223 333452</w:t>
        <w:br/>
        <w:t xml:space="preserve">Email: </w:t>
      </w:r>
      <w:hyperlink r:id="rId3">
        <w:r>
          <w:rPr>
            <w:rStyle w:val="ListLabel28"/>
            <w:rFonts w:eastAsia="Arial" w:cs="Arial" w:ascii="Arial" w:hAnsi="Arial"/>
            <w:color w:val="0000FF"/>
            <w:sz w:val="20"/>
            <w:szCs w:val="20"/>
            <w:u w:val="single"/>
          </w:rPr>
          <w:t>mlb63@cam.ac.uk</w:t>
        </w:r>
      </w:hyperlink>
    </w:p>
    <w:p>
      <w:pPr>
        <w:pStyle w:val="normal1"/>
        <w:spacing w:lineRule="auto" w:line="240" w:before="0" w:after="240"/>
        <w:rPr>
          <w:rFonts w:ascii="Arial" w:hAnsi="Arial" w:eastAsia="Arial" w:cs="Arial"/>
          <w:b/>
          <w:sz w:val="20"/>
          <w:szCs w:val="20"/>
        </w:rPr>
      </w:pPr>
      <w:r>
        <w:rPr>
          <w:rFonts w:eastAsia="Arial" w:cs="Arial" w:ascii="Arial" w:hAnsi="Arial"/>
          <w:b/>
          <w:sz w:val="20"/>
          <w:szCs w:val="20"/>
        </w:rPr>
      </w:r>
    </w:p>
    <w:p>
      <w:pPr>
        <w:pStyle w:val="normal1"/>
        <w:spacing w:lineRule="auto" w:line="240" w:before="0" w:after="240"/>
        <w:jc w:val="center"/>
        <w:rPr>
          <w:rFonts w:ascii="Arial" w:hAnsi="Arial" w:eastAsia="Arial" w:cs="Arial"/>
          <w:b/>
        </w:rPr>
      </w:pPr>
      <w:r>
        <w:rPr>
          <w:rFonts w:eastAsia="Arial" w:cs="Arial" w:ascii="Arial" w:hAnsi="Arial"/>
          <w:b/>
        </w:rPr>
        <w:t>Geochemistry Group Meeting Attendance Bursary Application Form</w:t>
      </w:r>
    </w:p>
    <w:p>
      <w:pPr>
        <w:pStyle w:val="normal1"/>
        <w:spacing w:lineRule="auto" w:line="240" w:before="0" w:after="120"/>
        <w:jc w:val="both"/>
        <w:rPr>
          <w:rFonts w:ascii="Arial" w:hAnsi="Arial" w:eastAsia="Arial" w:cs="Arial"/>
          <w:color w:val="000000"/>
          <w:sz w:val="20"/>
          <w:szCs w:val="20"/>
        </w:rPr>
      </w:pPr>
      <w:r>
        <w:rPr>
          <w:rFonts w:eastAsia="Arial" w:cs="Arial" w:ascii="Arial" w:hAnsi="Arial"/>
          <w:sz w:val="20"/>
          <w:szCs w:val="20"/>
        </w:rPr>
        <w:t xml:space="preserve">The Geochemistry Group welcomes applications from researchers registered at UK and Irish universities or research institutions to facilitate the presentation of their geochemistry-related research at a meeting hosted online, within the UK or internationally. </w:t>
      </w:r>
      <w:r>
        <w:rPr>
          <w:rFonts w:eastAsia="Arial" w:cs="Arial" w:ascii="Arial" w:hAnsi="Arial"/>
          <w:color w:val="FF0000"/>
          <w:sz w:val="20"/>
          <w:szCs w:val="20"/>
        </w:rPr>
        <w:t xml:space="preserve">The bursary is open to students regardless of funding situation as well </w:t>
      </w:r>
      <w:r>
        <w:rPr>
          <w:rFonts w:eastAsia="Arial" w:cs="Arial" w:ascii="Arial" w:hAnsi="Arial"/>
          <w:color w:val="FF0000"/>
          <w:sz w:val="20"/>
          <w:szCs w:val="20"/>
        </w:rPr>
        <w:t>as postdoctoral</w:t>
      </w:r>
      <w:r>
        <w:rPr>
          <w:rFonts w:eastAsia="Arial" w:cs="Arial" w:ascii="Arial" w:hAnsi="Arial"/>
          <w:color w:val="FF0000"/>
          <w:sz w:val="20"/>
          <w:szCs w:val="20"/>
        </w:rPr>
        <w:t xml:space="preserve"> researchers without financial support for conference attendance.</w:t>
      </w:r>
      <w:r>
        <w:rPr>
          <w:rFonts w:eastAsia="Arial" w:cs="Arial" w:ascii="Arial" w:hAnsi="Arial"/>
          <w:sz w:val="20"/>
          <w:szCs w:val="20"/>
        </w:rPr>
        <w:t xml:space="preserve"> Funding for two types of expenses can be applied for through this bursary: (i) offsetting the cost of travel to conferences being attended in person (the Geochemistry Group encourages low-carbon travel modes but it is also possible to claim for carbon offset</w:t>
      </w:r>
      <w:r>
        <w:rPr>
          <w:rFonts w:eastAsia="Arial" w:cs="Arial" w:ascii="Arial" w:hAnsi="Arial"/>
          <w:sz w:val="20"/>
          <w:szCs w:val="20"/>
        </w:rPr>
        <w:t>ting</w:t>
      </w:r>
      <w:r>
        <w:rPr>
          <w:rFonts w:eastAsia="Arial" w:cs="Arial" w:ascii="Arial" w:hAnsi="Arial"/>
          <w:sz w:val="20"/>
          <w:szCs w:val="20"/>
        </w:rPr>
        <w:t xml:space="preserve"> costs if flying is inevitable); (ii) </w:t>
      </w:r>
      <w:r>
        <w:rPr>
          <w:rFonts w:eastAsia="Arial" w:cs="Arial" w:ascii="Arial" w:hAnsi="Arial"/>
          <w:color w:val="000000"/>
          <w:sz w:val="20"/>
          <w:szCs w:val="20"/>
        </w:rPr>
        <w:t>contributions towards the costs of attending online conferences. Full eligibility criteria are listed in the attached appendix.</w:t>
      </w:r>
    </w:p>
    <w:p>
      <w:pPr>
        <w:pStyle w:val="normal1"/>
        <w:spacing w:lineRule="auto" w:line="240" w:before="0" w:after="120"/>
        <w:jc w:val="both"/>
        <w:rPr>
          <w:rFonts w:ascii="Arial" w:hAnsi="Arial" w:eastAsia="Arial" w:cs="Arial"/>
          <w:b/>
          <w:color w:val="000000"/>
          <w:sz w:val="20"/>
          <w:szCs w:val="20"/>
        </w:rPr>
      </w:pPr>
      <w:r>
        <w:rPr>
          <w:rFonts w:eastAsia="Arial" w:cs="Arial" w:ascii="Arial" w:hAnsi="Arial"/>
          <w:b/>
          <w:color w:val="000000"/>
          <w:sz w:val="20"/>
          <w:szCs w:val="20"/>
        </w:rPr>
        <w:t xml:space="preserve">From March 2023, the Geochemistry Group steering committee requires attendance at a previous </w:t>
      </w:r>
      <w:r>
        <w:rPr>
          <w:rFonts w:eastAsia="Arial" w:cs="Arial" w:ascii="Arial" w:hAnsi="Arial"/>
          <w:b/>
          <w:color w:val="000000"/>
          <w:sz w:val="20"/>
          <w:szCs w:val="20"/>
        </w:rPr>
        <w:t>Geochemistry Group Research in Progress meeting (</w:t>
      </w:r>
      <w:r>
        <w:rPr>
          <w:rFonts w:eastAsia="Arial" w:cs="Arial" w:ascii="Arial" w:hAnsi="Arial"/>
          <w:b/>
          <w:color w:val="000000"/>
          <w:sz w:val="20"/>
          <w:szCs w:val="20"/>
        </w:rPr>
        <w:t>GGRiP</w:t>
      </w:r>
      <w:r>
        <w:rPr>
          <w:rFonts w:eastAsia="Arial" w:cs="Arial" w:ascii="Arial" w:hAnsi="Arial"/>
          <w:b/>
          <w:color w:val="000000"/>
          <w:sz w:val="20"/>
          <w:szCs w:val="20"/>
        </w:rPr>
        <w:t>)</w:t>
      </w:r>
      <w:r>
        <w:rPr>
          <w:rFonts w:eastAsia="Arial" w:cs="Arial" w:ascii="Arial" w:hAnsi="Arial"/>
          <w:b/>
          <w:color w:val="000000"/>
          <w:sz w:val="20"/>
          <w:szCs w:val="20"/>
        </w:rPr>
        <w:t xml:space="preserve"> in order to be eligible </w:t>
      </w:r>
      <w:r>
        <w:rPr>
          <w:rFonts w:eastAsia="Arial" w:cs="Arial" w:ascii="Arial" w:hAnsi="Arial"/>
          <w:b/>
          <w:color w:val="000000"/>
          <w:sz w:val="20"/>
          <w:szCs w:val="20"/>
        </w:rPr>
        <w:t>to</w:t>
      </w:r>
      <w:r>
        <w:rPr>
          <w:rFonts w:eastAsia="Arial" w:cs="Arial" w:ascii="Arial" w:hAnsi="Arial"/>
          <w:b/>
          <w:color w:val="000000"/>
          <w:sz w:val="20"/>
          <w:szCs w:val="20"/>
        </w:rPr>
        <w:t xml:space="preserve"> a meeting-attendance bursary. Attendance at GGRiP can be both online or in-person. </w:t>
      </w:r>
      <w:r>
        <w:rPr>
          <w:rFonts w:eastAsia="Arial" w:cs="Arial" w:ascii="Arial" w:hAnsi="Arial"/>
          <w:b/>
          <w:color w:val="000000"/>
          <w:sz w:val="20"/>
          <w:szCs w:val="20"/>
        </w:rPr>
        <w:t xml:space="preserve">Moreover, applicants who have given a presentation (talk or poster) at a previous GGRiP will be given priority. </w:t>
      </w:r>
    </w:p>
    <w:p>
      <w:pPr>
        <w:pStyle w:val="normal1"/>
        <w:spacing w:lineRule="auto" w:line="240" w:before="0" w:after="120"/>
        <w:jc w:val="both"/>
        <w:rPr>
          <w:rFonts w:ascii="Arial" w:hAnsi="Arial" w:eastAsia="Arial" w:cs="Arial"/>
          <w:b/>
          <w:color w:val="000000"/>
          <w:sz w:val="20"/>
          <w:szCs w:val="20"/>
        </w:rPr>
      </w:pPr>
      <w:r>
        <w:rPr>
          <w:rFonts w:eastAsia="Arial" w:cs="Arial" w:ascii="Arial" w:hAnsi="Arial"/>
          <w:b/>
          <w:color w:val="000000"/>
          <w:sz w:val="20"/>
          <w:szCs w:val="20"/>
        </w:rPr>
        <w:t>The total amount that can be applied for has been increased to a maximum of £500 per person.</w:t>
      </w:r>
    </w:p>
    <w:p>
      <w:pPr>
        <w:pStyle w:val="normal1"/>
        <w:spacing w:lineRule="auto" w:line="240" w:before="0" w:after="120"/>
        <w:jc w:val="both"/>
        <w:rPr>
          <w:rFonts w:ascii="Arial" w:hAnsi="Arial" w:eastAsia="Arial" w:cs="Arial"/>
          <w:color w:val="000000"/>
          <w:sz w:val="20"/>
          <w:szCs w:val="20"/>
        </w:rPr>
      </w:pPr>
      <w:r>
        <w:rPr>
          <w:rFonts w:eastAsia="Arial" w:cs="Arial" w:ascii="Arial" w:hAnsi="Arial"/>
          <w:color w:val="000000"/>
          <w:sz w:val="20"/>
          <w:szCs w:val="20"/>
        </w:rPr>
        <w:t>To apply, please email the Geochemistry Group Secretary in advance of the deadline (see below) with the following attachments:</w:t>
      </w:r>
    </w:p>
    <w:p>
      <w:pPr>
        <w:pStyle w:val="normal1"/>
        <w:keepNext w:val="false"/>
        <w:keepLines w:val="false"/>
        <w:pageBreakBefore w:val="false"/>
        <w:widowControl/>
        <w:numPr>
          <w:ilvl w:val="0"/>
          <w:numId w:val="2"/>
        </w:numPr>
        <w:shd w:val="clear" w:fill="auto"/>
        <w:spacing w:lineRule="auto" w:line="240" w:before="0" w:after="0"/>
        <w:ind w:hanging="360" w:left="1080" w:right="0"/>
        <w:jc w:val="both"/>
        <w:rPr>
          <w:rFonts w:ascii="Arial" w:hAnsi="Arial" w:eastAsia="Arial" w:cs="Arial"/>
          <w:b w:val="false"/>
          <w:i w:val="false"/>
          <w:i w:val="false"/>
          <w:caps w:val="false"/>
          <w:smallCaps w:val="false"/>
          <w:strike w:val="false"/>
          <w:dstrike w:val="false"/>
          <w:color w:val="000000"/>
          <w:position w:val="0"/>
          <w:sz w:val="20"/>
          <w:sz w:val="20"/>
          <w:szCs w:val="20"/>
          <w:u w:val="none"/>
          <w:shd w:fill="auto" w:val="clear"/>
          <w:vertAlign w:val="baseline"/>
        </w:rPr>
      </w:pP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 xml:space="preserve">Complete application form. </w:t>
      </w:r>
    </w:p>
    <w:p>
      <w:pPr>
        <w:pStyle w:val="normal1"/>
        <w:keepNext w:val="false"/>
        <w:keepLines w:val="false"/>
        <w:pageBreakBefore w:val="false"/>
        <w:widowControl/>
        <w:numPr>
          <w:ilvl w:val="0"/>
          <w:numId w:val="2"/>
        </w:numPr>
        <w:shd w:val="clear" w:fill="auto"/>
        <w:spacing w:lineRule="auto" w:line="240" w:before="0" w:after="0"/>
        <w:ind w:hanging="360" w:left="1080" w:right="0"/>
        <w:jc w:val="both"/>
        <w:rPr>
          <w:rFonts w:ascii="Arial" w:hAnsi="Arial" w:eastAsia="Arial" w:cs="Arial"/>
          <w:b w:val="false"/>
          <w:i w:val="false"/>
          <w:i w:val="false"/>
          <w:caps w:val="false"/>
          <w:smallCaps w:val="false"/>
          <w:strike w:val="false"/>
          <w:dstrike w:val="false"/>
          <w:color w:val="000000"/>
          <w:position w:val="0"/>
          <w:sz w:val="20"/>
          <w:sz w:val="20"/>
          <w:szCs w:val="20"/>
          <w:u w:val="none"/>
          <w:shd w:fill="auto" w:val="clear"/>
          <w:vertAlign w:val="baseline"/>
        </w:rPr>
      </w:pP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 xml:space="preserve">A copy of the abstract to be presented </w:t>
      </w: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to the conference.</w:t>
      </w:r>
    </w:p>
    <w:p>
      <w:pPr>
        <w:pStyle w:val="normal1"/>
        <w:keepNext w:val="false"/>
        <w:keepLines w:val="false"/>
        <w:pageBreakBefore w:val="false"/>
        <w:widowControl/>
        <w:numPr>
          <w:ilvl w:val="0"/>
          <w:numId w:val="2"/>
        </w:numPr>
        <w:shd w:val="clear" w:fill="auto"/>
        <w:spacing w:lineRule="auto" w:line="240" w:before="0" w:after="0"/>
        <w:ind w:hanging="360" w:left="1080" w:right="0"/>
        <w:jc w:val="both"/>
        <w:rPr>
          <w:rFonts w:ascii="Arial" w:hAnsi="Arial" w:eastAsia="Arial" w:cs="Arial"/>
          <w:b w:val="false"/>
          <w:i w:val="false"/>
          <w:i w:val="false"/>
          <w:caps w:val="false"/>
          <w:smallCaps w:val="false"/>
          <w:strike w:val="false"/>
          <w:dstrike w:val="false"/>
          <w:color w:val="000000"/>
          <w:position w:val="0"/>
          <w:sz w:val="20"/>
          <w:sz w:val="20"/>
          <w:szCs w:val="20"/>
          <w:u w:val="none"/>
          <w:shd w:fill="auto" w:val="clear"/>
          <w:vertAlign w:val="baseline"/>
        </w:rPr>
      </w:pP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A letter of support from a supervisor or project PI. The letter of support must justify why financial support is needed and how attendance will benefit the named researcher.</w:t>
      </w:r>
    </w:p>
    <w:p>
      <w:pPr>
        <w:pStyle w:val="normal1"/>
        <w:keepNext w:val="false"/>
        <w:keepLines w:val="false"/>
        <w:pageBreakBefore w:val="false"/>
        <w:widowControl/>
        <w:numPr>
          <w:ilvl w:val="0"/>
          <w:numId w:val="2"/>
        </w:numPr>
        <w:shd w:val="clear" w:fill="auto"/>
        <w:spacing w:lineRule="auto" w:line="240" w:before="0" w:after="120"/>
        <w:ind w:hanging="360" w:left="1080" w:right="0"/>
        <w:jc w:val="both"/>
        <w:rPr>
          <w:rFonts w:ascii="Arial" w:hAnsi="Arial" w:eastAsia="Arial" w:cs="Arial"/>
          <w:b w:val="false"/>
          <w:i w:val="false"/>
          <w:i w:val="false"/>
          <w:caps w:val="false"/>
          <w:smallCaps w:val="false"/>
          <w:strike w:val="false"/>
          <w:dstrike w:val="false"/>
          <w:color w:val="000000"/>
          <w:position w:val="0"/>
          <w:sz w:val="20"/>
          <w:sz w:val="20"/>
          <w:szCs w:val="20"/>
          <w:u w:val="none"/>
          <w:shd w:fill="auto" w:val="clear"/>
          <w:vertAlign w:val="baseline"/>
        </w:rPr>
      </w:pP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Proof of registration at previous GGRiP meetings (see appendix)</w:t>
      </w:r>
    </w:p>
    <w:p>
      <w:pPr>
        <w:pStyle w:val="normal1"/>
        <w:spacing w:lineRule="auto" w:line="240" w:before="0" w:after="120"/>
        <w:jc w:val="both"/>
        <w:rPr>
          <w:rFonts w:ascii="Arial" w:hAnsi="Arial" w:eastAsia="Arial" w:cs="Arial"/>
          <w:sz w:val="20"/>
          <w:szCs w:val="20"/>
        </w:rPr>
      </w:pPr>
      <w:r>
        <w:rPr>
          <w:rFonts w:eastAsia="Arial" w:cs="Arial" w:ascii="Arial" w:hAnsi="Arial"/>
          <w:color w:val="000000"/>
          <w:sz w:val="20"/>
          <w:szCs w:val="20"/>
        </w:rPr>
        <w:t>There are three rounds of applications per year with deadlines on 15</w:t>
      </w:r>
      <w:r>
        <w:rPr>
          <w:rFonts w:eastAsia="Arial" w:cs="Arial" w:ascii="Arial" w:hAnsi="Arial"/>
          <w:color w:val="000000"/>
          <w:sz w:val="20"/>
          <w:szCs w:val="20"/>
          <w:vertAlign w:val="superscript"/>
        </w:rPr>
        <w:t>th</w:t>
      </w:r>
      <w:r>
        <w:rPr>
          <w:rFonts w:eastAsia="Arial" w:cs="Arial" w:ascii="Arial" w:hAnsi="Arial"/>
          <w:color w:val="000000"/>
          <w:sz w:val="20"/>
          <w:szCs w:val="20"/>
        </w:rPr>
        <w:t xml:space="preserve"> January, 15</w:t>
      </w:r>
      <w:r>
        <w:rPr>
          <w:rFonts w:eastAsia="Arial" w:cs="Arial" w:ascii="Arial" w:hAnsi="Arial"/>
          <w:color w:val="000000"/>
          <w:sz w:val="20"/>
          <w:szCs w:val="20"/>
          <w:vertAlign w:val="superscript"/>
        </w:rPr>
        <w:t>th</w:t>
      </w:r>
      <w:r>
        <w:rPr>
          <w:rFonts w:eastAsia="Arial" w:cs="Arial" w:ascii="Arial" w:hAnsi="Arial"/>
          <w:color w:val="000000"/>
          <w:sz w:val="20"/>
          <w:szCs w:val="20"/>
        </w:rPr>
        <w:t xml:space="preserve"> May and 15</w:t>
      </w:r>
      <w:r>
        <w:rPr>
          <w:rFonts w:eastAsia="Arial" w:cs="Arial" w:ascii="Arial" w:hAnsi="Arial"/>
          <w:color w:val="000000"/>
          <w:sz w:val="20"/>
          <w:szCs w:val="20"/>
          <w:vertAlign w:val="superscript"/>
        </w:rPr>
        <w:t>th</w:t>
      </w:r>
      <w:r>
        <w:rPr>
          <w:rFonts w:eastAsia="Arial" w:cs="Arial" w:ascii="Arial" w:hAnsi="Arial"/>
          <w:color w:val="000000"/>
          <w:sz w:val="20"/>
          <w:szCs w:val="20"/>
        </w:rPr>
        <w:t xml:space="preserve"> October.  Incomplete applications will not be considered. </w:t>
      </w:r>
      <w:r>
        <w:rPr>
          <w:rFonts w:eastAsia="Arial" w:cs="Arial" w:ascii="Arial" w:hAnsi="Arial"/>
          <w:sz w:val="20"/>
          <w:szCs w:val="20"/>
        </w:rPr>
        <w:t xml:space="preserve">Details of any adjustments to these dates or extensions will be published on the Geochemistry Group’s website, </w:t>
      </w:r>
      <w:hyperlink r:id="rId4">
        <w:r>
          <w:rPr>
            <w:rStyle w:val="ListLabel28"/>
            <w:rFonts w:eastAsia="Arial" w:cs="Arial" w:ascii="Arial" w:hAnsi="Arial"/>
            <w:color w:val="0000FF"/>
            <w:sz w:val="20"/>
            <w:szCs w:val="20"/>
            <w:u w:val="single"/>
          </w:rPr>
          <w:t>www.geochemistry.group</w:t>
        </w:r>
      </w:hyperlink>
      <w:r>
        <w:rPr>
          <w:rFonts w:eastAsia="Arial" w:cs="Arial" w:ascii="Arial" w:hAnsi="Arial"/>
          <w:sz w:val="20"/>
          <w:szCs w:val="20"/>
        </w:rPr>
        <w:t>, and/or through the group’s social media pages.</w:t>
      </w:r>
    </w:p>
    <w:p>
      <w:pPr>
        <w:pStyle w:val="normal1"/>
        <w:spacing w:lineRule="auto" w:line="240" w:before="0" w:after="120"/>
        <w:jc w:val="both"/>
        <w:rPr>
          <w:rFonts w:ascii="Arial" w:hAnsi="Arial" w:eastAsia="Arial" w:cs="Arial"/>
          <w:sz w:val="20"/>
          <w:szCs w:val="20"/>
        </w:rPr>
      </w:pPr>
      <w:r>
        <w:rPr>
          <w:rFonts w:eastAsia="Arial" w:cs="Arial" w:ascii="Arial" w:hAnsi="Arial"/>
          <w:sz w:val="20"/>
          <w:szCs w:val="20"/>
        </w:rPr>
        <w:t>Successful applicants are required to submit a brief report within three months of attendance at the meeting for publication on the Group’s website.</w:t>
      </w:r>
    </w:p>
    <w:p>
      <w:pPr>
        <w:pStyle w:val="normal1"/>
        <w:spacing w:lineRule="auto" w:line="240" w:before="0" w:after="120"/>
        <w:jc w:val="both"/>
        <w:rPr>
          <w:rFonts w:ascii="Arial" w:hAnsi="Arial" w:eastAsia="Arial" w:cs="Arial"/>
          <w:sz w:val="20"/>
          <w:szCs w:val="20"/>
        </w:rPr>
      </w:pPr>
      <w:r>
        <w:rPr/>
      </w:r>
    </w:p>
    <w:tbl>
      <w:tblPr>
        <w:tblStyle w:val="Table2"/>
        <w:tblW w:w="9861" w:type="dxa"/>
        <w:jc w:val="left"/>
        <w:tblInd w:w="0" w:type="dxa"/>
        <w:tblLayout w:type="fixed"/>
        <w:tblCellMar>
          <w:top w:w="0" w:type="dxa"/>
          <w:left w:w="108" w:type="dxa"/>
          <w:bottom w:w="0" w:type="dxa"/>
          <w:right w:w="108" w:type="dxa"/>
        </w:tblCellMar>
        <w:tblLook w:val="0000"/>
      </w:tblPr>
      <w:tblGrid>
        <w:gridCol w:w="3347"/>
        <w:gridCol w:w="6513"/>
      </w:tblGrid>
      <w:tr>
        <w:trPr/>
        <w:tc>
          <w:tcPr>
            <w:tcW w:w="9860" w:type="dxa"/>
            <w:gridSpan w:val="2"/>
            <w:tcBorders>
              <w:top w:val="single" w:sz="4" w:space="0" w:color="000000"/>
              <w:left w:val="single" w:sz="4" w:space="0" w:color="000000"/>
              <w:bottom w:val="single" w:sz="4" w:space="0" w:color="000000"/>
              <w:right w:val="single" w:sz="4" w:space="0" w:color="000000"/>
            </w:tcBorders>
            <w:shd w:fill="B8CCE4" w:val="clear"/>
          </w:tcPr>
          <w:p>
            <w:pPr>
              <w:pStyle w:val="normal1"/>
              <w:spacing w:lineRule="auto" w:line="240" w:before="60" w:after="60"/>
              <w:jc w:val="center"/>
              <w:rPr>
                <w:rFonts w:ascii="Arial" w:hAnsi="Arial" w:eastAsia="Arial" w:cs="Arial"/>
                <w:b/>
                <w:sz w:val="20"/>
                <w:szCs w:val="20"/>
              </w:rPr>
            </w:pPr>
            <w:r>
              <w:rPr>
                <w:rFonts w:eastAsia="Arial" w:cs="Arial" w:ascii="Arial" w:hAnsi="Arial"/>
                <w:b/>
                <w:sz w:val="20"/>
                <w:szCs w:val="20"/>
              </w:rPr>
              <w:t>Personal Details</w:t>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Name</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Institution</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Postal address</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Phone</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Email</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Source of funding</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Position</w:t>
            </w:r>
            <w:r>
              <w:rPr>
                <w:rFonts w:eastAsia="Arial" w:cs="Arial" w:ascii="Arial" w:hAnsi="Arial"/>
                <w:b/>
                <w:color w:val="000000"/>
                <w:sz w:val="20"/>
                <w:szCs w:val="20"/>
              </w:rPr>
              <w:t xml:space="preserve"> </w:t>
            </w:r>
            <w:r>
              <w:rPr>
                <w:rFonts w:eastAsia="Arial" w:cs="Arial" w:ascii="Arial" w:hAnsi="Arial"/>
                <w:b/>
                <w:color w:val="000000"/>
                <w:sz w:val="20"/>
                <w:szCs w:val="20"/>
              </w:rPr>
              <w:t>(including year of study for students)</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Research supervisor/lead</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Name and position of person providing the supporting letter</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bl>
    <w:p>
      <w:pPr>
        <w:pStyle w:val="normal1"/>
        <w:rPr/>
      </w:pPr>
      <w:r>
        <w:rPr/>
      </w:r>
    </w:p>
    <w:tbl>
      <w:tblPr>
        <w:tblStyle w:val="Table3"/>
        <w:tblW w:w="9861" w:type="dxa"/>
        <w:jc w:val="left"/>
        <w:tblInd w:w="0" w:type="dxa"/>
        <w:tblLayout w:type="fixed"/>
        <w:tblCellMar>
          <w:top w:w="0" w:type="dxa"/>
          <w:left w:w="108" w:type="dxa"/>
          <w:bottom w:w="0" w:type="dxa"/>
          <w:right w:w="108" w:type="dxa"/>
        </w:tblCellMar>
        <w:tblLook w:val="0000"/>
      </w:tblPr>
      <w:tblGrid>
        <w:gridCol w:w="3347"/>
        <w:gridCol w:w="6513"/>
      </w:tblGrid>
      <w:tr>
        <w:trPr/>
        <w:tc>
          <w:tcPr>
            <w:tcW w:w="9860" w:type="dxa"/>
            <w:gridSpan w:val="2"/>
            <w:tcBorders>
              <w:top w:val="single" w:sz="4" w:space="0" w:color="000000"/>
              <w:left w:val="single" w:sz="4" w:space="0" w:color="000000"/>
              <w:bottom w:val="single" w:sz="4" w:space="0" w:color="000000"/>
              <w:right w:val="single" w:sz="4" w:space="0" w:color="000000"/>
            </w:tcBorders>
            <w:shd w:fill="B8CCE4" w:val="clear"/>
            <w:vAlign w:val="center"/>
          </w:tcPr>
          <w:p>
            <w:pPr>
              <w:pStyle w:val="normal1"/>
              <w:spacing w:lineRule="auto" w:line="240" w:before="60" w:after="60"/>
              <w:jc w:val="center"/>
              <w:rPr>
                <w:rFonts w:ascii="Arial" w:hAnsi="Arial" w:eastAsia="Arial" w:cs="Arial"/>
                <w:b/>
                <w:sz w:val="20"/>
                <w:szCs w:val="20"/>
              </w:rPr>
            </w:pPr>
            <w:r>
              <w:rPr>
                <w:rFonts w:eastAsia="Arial" w:cs="Arial" w:ascii="Arial" w:hAnsi="Arial"/>
                <w:b/>
                <w:sz w:val="20"/>
                <w:szCs w:val="20"/>
                <w:shd w:fill="B8CCE4" w:val="clear"/>
              </w:rPr>
              <w:t>Meeting Information</w:t>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Meeting</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Location</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Dates</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Session (if known)</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334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Title of presentation</w:t>
            </w:r>
          </w:p>
        </w:tc>
        <w:tc>
          <w:tcPr>
            <w:tcW w:w="6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r>
        <w:trPr/>
        <w:tc>
          <w:tcPr>
            <w:tcW w:w="986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jc w:val="both"/>
              <w:rPr>
                <w:rFonts w:ascii="Arial" w:hAnsi="Arial" w:eastAsia="Arial" w:cs="Arial"/>
                <w:b/>
                <w:sz w:val="20"/>
                <w:szCs w:val="20"/>
              </w:rPr>
            </w:pPr>
            <w:r>
              <w:rPr>
                <w:rFonts w:eastAsia="Arial" w:cs="Arial" w:ascii="Arial" w:hAnsi="Arial"/>
                <w:b/>
                <w:sz w:val="20"/>
                <w:szCs w:val="20"/>
              </w:rPr>
              <w:t>Please summarise your presentation in less than ~150 words using language that could be understood by a general audience</w:t>
            </w:r>
          </w:p>
          <w:p>
            <w:pPr>
              <w:pStyle w:val="normal1"/>
              <w:spacing w:lineRule="auto" w:line="240" w:before="60" w:after="60"/>
              <w:rPr>
                <w:rFonts w:ascii="Arial" w:hAnsi="Arial" w:eastAsia="Arial" w:cs="Arial"/>
                <w:b/>
                <w:sz w:val="20"/>
                <w:szCs w:val="20"/>
              </w:rPr>
            </w:pPr>
            <w:r>
              <w:rPr>
                <w:rFonts w:eastAsia="Arial" w:cs="Arial" w:ascii="Arial" w:hAnsi="Arial"/>
                <w:b/>
                <w:sz w:val="20"/>
                <w:szCs w:val="20"/>
              </w:rPr>
            </w:r>
          </w:p>
          <w:p>
            <w:pPr>
              <w:pStyle w:val="normal1"/>
              <w:spacing w:lineRule="auto" w:line="240" w:before="60" w:after="60"/>
              <w:rPr>
                <w:rFonts w:ascii="Arial" w:hAnsi="Arial" w:eastAsia="Arial" w:cs="Arial"/>
                <w:sz w:val="20"/>
                <w:szCs w:val="20"/>
              </w:rPr>
            </w:pPr>
            <w:r>
              <w:rPr>
                <w:rFonts w:eastAsia="Arial" w:cs="Arial" w:ascii="Arial" w:hAnsi="Arial"/>
                <w:sz w:val="20"/>
                <w:szCs w:val="20"/>
              </w:rPr>
            </w:r>
          </w:p>
        </w:tc>
      </w:tr>
    </w:tbl>
    <w:p>
      <w:pPr>
        <w:pStyle w:val="normal1"/>
        <w:tabs>
          <w:tab w:val="clear" w:pos="720"/>
          <w:tab w:val="left" w:pos="3348" w:leader="none"/>
        </w:tabs>
        <w:spacing w:lineRule="auto" w:line="240" w:before="0" w:after="120"/>
        <w:rPr>
          <w:rFonts w:ascii="Arial" w:hAnsi="Arial" w:eastAsia="Arial" w:cs="Arial"/>
          <w:sz w:val="20"/>
          <w:szCs w:val="20"/>
        </w:rPr>
      </w:pPr>
      <w:r>
        <w:rPr>
          <w:rFonts w:eastAsia="Arial" w:cs="Arial" w:ascii="Arial" w:hAnsi="Arial"/>
          <w:sz w:val="20"/>
          <w:szCs w:val="20"/>
        </w:rPr>
      </w:r>
    </w:p>
    <w:tbl>
      <w:tblPr>
        <w:tblStyle w:val="Table4"/>
        <w:tblW w:w="9861" w:type="dxa"/>
        <w:jc w:val="left"/>
        <w:tblInd w:w="0" w:type="dxa"/>
        <w:tblLayout w:type="fixed"/>
        <w:tblCellMar>
          <w:top w:w="0" w:type="dxa"/>
          <w:left w:w="108" w:type="dxa"/>
          <w:bottom w:w="0" w:type="dxa"/>
          <w:right w:w="108" w:type="dxa"/>
        </w:tblCellMar>
        <w:tblLook w:val="0000"/>
      </w:tblPr>
      <w:tblGrid>
        <w:gridCol w:w="7478"/>
        <w:gridCol w:w="2382"/>
      </w:tblGrid>
      <w:tr>
        <w:trPr/>
        <w:tc>
          <w:tcPr>
            <w:tcW w:w="9860" w:type="dxa"/>
            <w:gridSpan w:val="2"/>
            <w:tcBorders>
              <w:top w:val="single" w:sz="4" w:space="0" w:color="000000"/>
              <w:left w:val="single" w:sz="4" w:space="0" w:color="000000"/>
              <w:bottom w:val="single" w:sz="4" w:space="0" w:color="000000"/>
              <w:right w:val="single" w:sz="4" w:space="0" w:color="000000"/>
            </w:tcBorders>
            <w:shd w:fill="B8CCE4" w:val="clear"/>
          </w:tcPr>
          <w:p>
            <w:pPr>
              <w:pStyle w:val="normal1"/>
              <w:spacing w:lineRule="auto" w:line="240" w:before="60" w:after="60"/>
              <w:jc w:val="center"/>
              <w:rPr>
                <w:rFonts w:ascii="Arial" w:hAnsi="Arial" w:eastAsia="Arial" w:cs="Arial"/>
                <w:b/>
                <w:sz w:val="20"/>
                <w:szCs w:val="20"/>
              </w:rPr>
            </w:pPr>
            <w:r>
              <w:rPr>
                <w:rFonts w:eastAsia="Arial" w:cs="Arial" w:ascii="Arial" w:hAnsi="Arial"/>
                <w:b/>
                <w:sz w:val="20"/>
                <w:szCs w:val="20"/>
              </w:rPr>
              <w:t>Financial Support</w:t>
            </w:r>
          </w:p>
        </w:tc>
      </w:tr>
      <w:tr>
        <w:trPr/>
        <w:tc>
          <w:tcPr>
            <w:tcW w:w="7478" w:type="dxa"/>
            <w:tcBorders>
              <w:top w:val="single" w:sz="8"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Type of financial support requested (travel or online registration)</w:t>
            </w:r>
          </w:p>
        </w:tc>
        <w:tc>
          <w:tcPr>
            <w:tcW w:w="2382" w:type="dxa"/>
            <w:tcBorders>
              <w:top w:val="single" w:sz="8" w:space="0" w:color="000000"/>
              <w:left w:val="single" w:sz="4" w:space="0" w:color="000000"/>
              <w:bottom w:val="single" w:sz="4" w:space="0" w:color="000000"/>
              <w:right w:val="single" w:sz="4" w:space="0" w:color="000000"/>
            </w:tcBorders>
            <w:shd w:fill="auto" w:val="clear"/>
          </w:tcPr>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r>
          </w:p>
        </w:tc>
      </w:tr>
      <w:tr>
        <w:trPr/>
        <w:tc>
          <w:tcPr>
            <w:tcW w:w="7478" w:type="dxa"/>
            <w:tcBorders>
              <w:top w:val="single" w:sz="8"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Expected total cost of travel (where applicable)</w:t>
            </w:r>
          </w:p>
        </w:tc>
        <w:tc>
          <w:tcPr>
            <w:tcW w:w="2382" w:type="dxa"/>
            <w:tcBorders>
              <w:top w:val="single" w:sz="8" w:space="0" w:color="000000"/>
              <w:left w:val="single" w:sz="4" w:space="0" w:color="000000"/>
              <w:bottom w:val="single" w:sz="4" w:space="0" w:color="000000"/>
              <w:right w:val="single" w:sz="4" w:space="0" w:color="000000"/>
            </w:tcBorders>
            <w:shd w:fill="auto" w:val="clear"/>
          </w:tcPr>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t>£</w:t>
            </w:r>
          </w:p>
        </w:tc>
      </w:tr>
      <w:tr>
        <w:trPr/>
        <w:tc>
          <w:tcPr>
            <w:tcW w:w="747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Total cost of registration for online meeting (where applicable)</w:t>
            </w:r>
          </w:p>
        </w:tc>
        <w:tc>
          <w:tcPr>
            <w:tcW w:w="2382" w:type="dxa"/>
            <w:tcBorders>
              <w:top w:val="single" w:sz="4" w:space="0" w:color="000000"/>
              <w:left w:val="single" w:sz="4" w:space="0" w:color="000000"/>
              <w:bottom w:val="single" w:sz="4" w:space="0" w:color="000000"/>
              <w:right w:val="single" w:sz="4" w:space="0" w:color="000000"/>
            </w:tcBorders>
            <w:shd w:fill="auto" w:val="clear"/>
          </w:tcPr>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t>£</w:t>
            </w:r>
          </w:p>
        </w:tc>
      </w:tr>
      <w:tr>
        <w:trPr/>
        <w:tc>
          <w:tcPr>
            <w:tcW w:w="747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Other financial support available</w:t>
            </w:r>
          </w:p>
        </w:tc>
        <w:tc>
          <w:tcPr>
            <w:tcW w:w="2382" w:type="dxa"/>
            <w:tcBorders>
              <w:top w:val="single" w:sz="4" w:space="0" w:color="000000"/>
              <w:left w:val="single" w:sz="4" w:space="0" w:color="000000"/>
              <w:bottom w:val="single" w:sz="4" w:space="0" w:color="000000"/>
              <w:right w:val="single" w:sz="4" w:space="0" w:color="000000"/>
            </w:tcBorders>
            <w:shd w:fill="auto" w:val="clear"/>
          </w:tcPr>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t>£</w:t>
            </w:r>
          </w:p>
        </w:tc>
      </w:tr>
      <w:tr>
        <w:trPr/>
        <w:tc>
          <w:tcPr>
            <w:tcW w:w="7478"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Amount of support sought from the Geochemistry Group</w:t>
            </w:r>
          </w:p>
        </w:tc>
        <w:tc>
          <w:tcPr>
            <w:tcW w:w="2382" w:type="dxa"/>
            <w:tcBorders>
              <w:top w:val="single" w:sz="4" w:space="0" w:color="000000"/>
              <w:left w:val="single" w:sz="4" w:space="0" w:color="000000"/>
              <w:bottom w:val="single" w:sz="4" w:space="0" w:color="000000"/>
              <w:right w:val="single" w:sz="4" w:space="0" w:color="000000"/>
            </w:tcBorders>
            <w:shd w:fill="auto" w:val="clear"/>
          </w:tcPr>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t>£</w:t>
            </w:r>
          </w:p>
        </w:tc>
      </w:tr>
      <w:tr>
        <w:trPr/>
        <w:tc>
          <w:tcPr>
            <w:tcW w:w="9860" w:type="dxa"/>
            <w:gridSpan w:val="2"/>
            <w:tcBorders>
              <w:top w:val="single" w:sz="4" w:space="0" w:color="000000"/>
              <w:left w:val="single" w:sz="4" w:space="0" w:color="000000"/>
              <w:bottom w:val="single" w:sz="4" w:space="0" w:color="000000"/>
              <w:right w:val="single" w:sz="4" w:space="0" w:color="000000"/>
            </w:tcBorders>
            <w:shd w:fill="auto" w:val="clear"/>
          </w:tcPr>
          <w:p>
            <w:pPr>
              <w:pStyle w:val="normal1"/>
              <w:spacing w:lineRule="auto" w:line="240" w:before="60" w:after="60"/>
              <w:jc w:val="both"/>
              <w:rPr>
                <w:rFonts w:ascii="Arial" w:hAnsi="Arial" w:eastAsia="Arial" w:cs="Arial"/>
                <w:b/>
                <w:sz w:val="20"/>
                <w:szCs w:val="20"/>
              </w:rPr>
            </w:pPr>
            <w:r>
              <w:rPr>
                <w:rFonts w:eastAsia="Arial" w:cs="Arial" w:ascii="Arial" w:hAnsi="Arial"/>
                <w:b/>
                <w:sz w:val="20"/>
                <w:szCs w:val="20"/>
              </w:rPr>
              <w:t>Details of any applications to other funding bodies for the proposed conference:</w:t>
            </w:r>
          </w:p>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r>
          </w:p>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r>
          </w:p>
        </w:tc>
      </w:tr>
      <w:tr>
        <w:trPr/>
        <w:tc>
          <w:tcPr>
            <w:tcW w:w="9860" w:type="dxa"/>
            <w:gridSpan w:val="2"/>
            <w:tcBorders>
              <w:top w:val="single" w:sz="4" w:space="0" w:color="000000"/>
              <w:left w:val="single" w:sz="4" w:space="0" w:color="000000"/>
              <w:bottom w:val="single" w:sz="8" w:space="0" w:color="000000"/>
              <w:right w:val="single" w:sz="4" w:space="0" w:color="000000"/>
            </w:tcBorders>
            <w:shd w:fill="auto" w:val="clear"/>
          </w:tcPr>
          <w:p>
            <w:pPr>
              <w:pStyle w:val="normal1"/>
              <w:spacing w:lineRule="auto" w:line="240" w:before="60" w:after="60"/>
              <w:jc w:val="both"/>
              <w:rPr>
                <w:rFonts w:ascii="Arial" w:hAnsi="Arial" w:eastAsia="Arial" w:cs="Arial"/>
                <w:b/>
                <w:sz w:val="20"/>
                <w:szCs w:val="20"/>
              </w:rPr>
            </w:pPr>
            <w:r>
              <w:rPr>
                <w:rFonts w:eastAsia="Arial" w:cs="Arial" w:ascii="Arial" w:hAnsi="Arial"/>
                <w:b/>
                <w:sz w:val="20"/>
                <w:szCs w:val="20"/>
              </w:rPr>
              <w:t>Justification of the need for financial support:</w:t>
            </w:r>
          </w:p>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r>
          </w:p>
          <w:p>
            <w:pPr>
              <w:pStyle w:val="normal1"/>
              <w:spacing w:lineRule="auto" w:line="240" w:before="60" w:after="60"/>
              <w:jc w:val="both"/>
              <w:rPr>
                <w:rFonts w:ascii="Arial" w:hAnsi="Arial" w:eastAsia="Arial" w:cs="Arial"/>
                <w:sz w:val="20"/>
                <w:szCs w:val="20"/>
              </w:rPr>
            </w:pPr>
            <w:r>
              <w:rPr>
                <w:rFonts w:eastAsia="Arial" w:cs="Arial" w:ascii="Arial" w:hAnsi="Arial"/>
                <w:sz w:val="20"/>
                <w:szCs w:val="20"/>
              </w:rPr>
            </w:r>
          </w:p>
        </w:tc>
      </w:tr>
    </w:tbl>
    <w:p>
      <w:pPr>
        <w:pStyle w:val="normal1"/>
        <w:spacing w:lineRule="auto" w:line="240" w:before="0" w:after="120"/>
        <w:jc w:val="both"/>
        <w:rPr>
          <w:rFonts w:ascii="Arial" w:hAnsi="Arial" w:eastAsia="Arial" w:cs="Arial"/>
          <w:sz w:val="20"/>
          <w:szCs w:val="20"/>
        </w:rPr>
      </w:pPr>
      <w:r>
        <w:rPr>
          <w:rFonts w:eastAsia="Arial" w:cs="Arial" w:ascii="Arial" w:hAnsi="Arial"/>
          <w:sz w:val="20"/>
          <w:szCs w:val="20"/>
        </w:rPr>
      </w:r>
    </w:p>
    <w:tbl>
      <w:tblPr>
        <w:tblStyle w:val="Table5"/>
        <w:tblW w:w="9870" w:type="dxa"/>
        <w:jc w:val="left"/>
        <w:tblInd w:w="0" w:type="dxa"/>
        <w:tblLayout w:type="fixed"/>
        <w:tblCellMar>
          <w:top w:w="0" w:type="dxa"/>
          <w:left w:w="108" w:type="dxa"/>
          <w:bottom w:w="0" w:type="dxa"/>
          <w:right w:w="108" w:type="dxa"/>
        </w:tblCellMar>
        <w:tblLook w:val="0400"/>
      </w:tblPr>
      <w:tblGrid>
        <w:gridCol w:w="7283"/>
        <w:gridCol w:w="2587"/>
      </w:tblGrid>
      <w:tr>
        <w:trPr/>
        <w:tc>
          <w:tcPr>
            <w:tcW w:w="9870" w:type="dxa"/>
            <w:gridSpan w:val="2"/>
            <w:tcBorders>
              <w:top w:val="single" w:sz="4" w:space="0" w:color="000000"/>
              <w:left w:val="single" w:sz="4" w:space="0" w:color="000000"/>
              <w:bottom w:val="single" w:sz="4" w:space="0" w:color="000000"/>
              <w:right w:val="single" w:sz="4" w:space="0" w:color="000000"/>
            </w:tcBorders>
            <w:shd w:fill="B8CCE4" w:val="clear"/>
            <w:vAlign w:val="center"/>
          </w:tcPr>
          <w:p>
            <w:pPr>
              <w:pStyle w:val="normal1"/>
              <w:spacing w:lineRule="auto" w:line="240" w:before="60" w:after="60"/>
              <w:jc w:val="center"/>
              <w:rPr>
                <w:rFonts w:ascii="Arial" w:hAnsi="Arial" w:eastAsia="Arial" w:cs="Arial"/>
                <w:sz w:val="20"/>
                <w:szCs w:val="20"/>
              </w:rPr>
            </w:pPr>
            <w:r>
              <w:rPr>
                <w:rFonts w:eastAsia="Arial" w:cs="Arial" w:ascii="Arial" w:hAnsi="Arial"/>
                <w:b/>
                <w:sz w:val="20"/>
                <w:szCs w:val="20"/>
              </w:rPr>
              <w:t>Other Information</w:t>
            </w:r>
          </w:p>
        </w:tc>
      </w:tr>
      <w:tr>
        <w:trPr>
          <w:trHeight w:val="240" w:hRule="atLeast"/>
        </w:trPr>
        <w:tc>
          <w:tcPr>
            <w:tcW w:w="728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b/>
                <w:sz w:val="20"/>
                <w:szCs w:val="20"/>
              </w:rPr>
              <w:t>Membership status</w:t>
            </w:r>
          </w:p>
        </w:tc>
        <w:tc>
          <w:tcPr>
            <w:tcW w:w="25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t>Membership number</w:t>
            </w:r>
          </w:p>
        </w:tc>
      </w:tr>
      <w:tr>
        <w:trPr>
          <w:trHeight w:val="240" w:hRule="atLeast"/>
        </w:trPr>
        <w:tc>
          <w:tcPr>
            <w:tcW w:w="728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sz w:val="20"/>
                <w:szCs w:val="20"/>
              </w:rPr>
            </w:pPr>
            <w:r>
              <w:rPr>
                <w:rFonts w:eastAsia="Arial" w:cs="Arial" w:ascii="Arial" w:hAnsi="Arial"/>
                <w:sz w:val="20"/>
                <w:szCs w:val="20"/>
              </w:rPr>
              <w:t>Mineralogical Society</w:t>
            </w:r>
          </w:p>
        </w:tc>
        <w:tc>
          <w:tcPr>
            <w:tcW w:w="25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r>
          </w:p>
        </w:tc>
      </w:tr>
      <w:tr>
        <w:trPr>
          <w:trHeight w:val="240" w:hRule="atLeast"/>
        </w:trPr>
        <w:tc>
          <w:tcPr>
            <w:tcW w:w="728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color w:val="000000"/>
                <w:sz w:val="20"/>
                <w:szCs w:val="20"/>
              </w:rPr>
            </w:pPr>
            <w:r>
              <w:rPr>
                <w:rFonts w:eastAsia="Arial" w:cs="Arial" w:ascii="Arial" w:hAnsi="Arial"/>
                <w:color w:val="000000"/>
                <w:sz w:val="20"/>
                <w:szCs w:val="20"/>
              </w:rPr>
              <w:t>Geological Society</w:t>
            </w:r>
          </w:p>
        </w:tc>
        <w:tc>
          <w:tcPr>
            <w:tcW w:w="258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rPr>
                <w:rFonts w:ascii="Arial" w:hAnsi="Arial" w:eastAsia="Arial" w:cs="Arial"/>
                <w:b/>
                <w:sz w:val="20"/>
                <w:szCs w:val="20"/>
              </w:rPr>
            </w:pPr>
            <w:r>
              <w:rPr>
                <w:rFonts w:eastAsia="Arial" w:cs="Arial" w:ascii="Arial" w:hAnsi="Arial"/>
                <w:b/>
                <w:sz w:val="20"/>
                <w:szCs w:val="20"/>
              </w:rPr>
            </w:r>
          </w:p>
        </w:tc>
      </w:tr>
      <w:tr>
        <w:trPr>
          <w:trHeight w:val="611" w:hRule="atLeast"/>
        </w:trPr>
        <w:tc>
          <w:tcPr>
            <w:tcW w:w="987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spacing w:lineRule="auto" w:line="240" w:before="60" w:after="60"/>
              <w:jc w:val="both"/>
              <w:rPr>
                <w:rFonts w:ascii="Arial" w:hAnsi="Arial" w:eastAsia="Arial" w:cs="Arial"/>
                <w:b/>
                <w:color w:val="000000"/>
                <w:sz w:val="20"/>
                <w:szCs w:val="20"/>
              </w:rPr>
            </w:pPr>
            <w:r>
              <w:rPr>
                <w:rFonts w:eastAsia="Arial" w:cs="Arial" w:ascii="Arial" w:hAnsi="Arial"/>
                <w:b/>
                <w:color w:val="000000"/>
                <w:sz w:val="20"/>
                <w:szCs w:val="20"/>
              </w:rPr>
              <w:t xml:space="preserve">Please outline below the details of Geochemistry Group Research in Progress </w:t>
            </w:r>
            <w:r>
              <w:rPr>
                <w:rFonts w:eastAsia="Arial" w:cs="Arial" w:ascii="Arial" w:hAnsi="Arial"/>
                <w:b/>
                <w:color w:val="000000"/>
                <w:sz w:val="20"/>
                <w:szCs w:val="20"/>
              </w:rPr>
              <w:t>meetings</w:t>
            </w:r>
            <w:r>
              <w:rPr>
                <w:rFonts w:eastAsia="Arial" w:cs="Arial" w:ascii="Arial" w:hAnsi="Arial"/>
                <w:b/>
                <w:color w:val="000000"/>
                <w:sz w:val="20"/>
                <w:szCs w:val="20"/>
              </w:rPr>
              <w:t xml:space="preserve"> you attended previously (year and title of abstract submitted):</w:t>
            </w:r>
          </w:p>
          <w:p>
            <w:pPr>
              <w:pStyle w:val="normal1"/>
              <w:spacing w:lineRule="auto" w:line="240" w:before="60" w:after="60"/>
              <w:rPr>
                <w:rFonts w:ascii="Arial" w:hAnsi="Arial" w:eastAsia="Arial" w:cs="Arial"/>
                <w:b/>
                <w:color w:val="000000"/>
                <w:sz w:val="20"/>
                <w:szCs w:val="20"/>
              </w:rPr>
            </w:pPr>
            <w:r>
              <w:rPr>
                <w:rFonts w:eastAsia="Arial" w:cs="Arial" w:ascii="Arial" w:hAnsi="Arial"/>
                <w:b/>
                <w:color w:val="000000"/>
                <w:sz w:val="20"/>
                <w:szCs w:val="20"/>
              </w:rPr>
            </w:r>
          </w:p>
          <w:p>
            <w:pPr>
              <w:pStyle w:val="normal1"/>
              <w:spacing w:lineRule="auto" w:line="240" w:before="60" w:after="60"/>
              <w:rPr>
                <w:rFonts w:ascii="Arial" w:hAnsi="Arial" w:eastAsia="Arial" w:cs="Arial"/>
                <w:b/>
                <w:color w:val="000000"/>
                <w:sz w:val="20"/>
                <w:szCs w:val="20"/>
              </w:rPr>
            </w:pPr>
            <w:r>
              <w:rPr>
                <w:rFonts w:eastAsia="Arial" w:cs="Arial" w:ascii="Arial" w:hAnsi="Arial"/>
                <w:b/>
                <w:color w:val="000000"/>
                <w:sz w:val="20"/>
                <w:szCs w:val="20"/>
              </w:rPr>
            </w:r>
          </w:p>
        </w:tc>
      </w:tr>
      <w:tr>
        <w:trPr>
          <w:trHeight w:val="611" w:hRule="atLeast"/>
        </w:trPr>
        <w:tc>
          <w:tcPr>
            <w:tcW w:w="9870" w:type="dxa"/>
            <w:gridSpan w:val="2"/>
            <w:tcBorders>
              <w:left w:val="single" w:sz="4" w:space="0" w:color="000000"/>
              <w:bottom w:val="single" w:sz="4" w:space="0" w:color="000000"/>
              <w:right w:val="single" w:sz="4" w:space="0" w:color="000000"/>
            </w:tcBorders>
            <w:shd w:fill="auto" w:val="clear"/>
            <w:vAlign w:val="center"/>
          </w:tcPr>
          <w:p>
            <w:pPr>
              <w:pStyle w:val="normal1"/>
              <w:spacing w:lineRule="auto" w:line="240" w:before="60" w:after="60"/>
              <w:jc w:val="both"/>
              <w:rPr>
                <w:rFonts w:ascii="Arial" w:hAnsi="Arial" w:eastAsia="Arial" w:cs="Arial"/>
                <w:b/>
                <w:color w:val="000000"/>
                <w:sz w:val="20"/>
                <w:szCs w:val="20"/>
              </w:rPr>
            </w:pPr>
            <w:r>
              <w:rPr>
                <w:rFonts w:eastAsia="Arial" w:cs="Arial" w:ascii="Arial" w:hAnsi="Arial"/>
                <w:b/>
                <w:color w:val="000000"/>
                <w:sz w:val="20"/>
                <w:szCs w:val="20"/>
              </w:rPr>
              <w:t xml:space="preserve">Please </w:t>
            </w:r>
            <w:r>
              <w:rPr>
                <w:rFonts w:eastAsia="Arial" w:cs="Arial" w:ascii="Arial" w:hAnsi="Arial"/>
                <w:b/>
                <w:color w:val="000000"/>
                <w:sz w:val="20"/>
                <w:szCs w:val="20"/>
              </w:rPr>
              <w:t>list below any financial support previously received from the Geochemistry Group, the Mineralogical Society of the UK and Ireland, the Geological Society and any Special Interest Group of these societies:</w:t>
            </w:r>
          </w:p>
          <w:p>
            <w:pPr>
              <w:pStyle w:val="normal1"/>
              <w:spacing w:lineRule="auto" w:line="240" w:before="60" w:after="60"/>
              <w:jc w:val="both"/>
              <w:rPr>
                <w:rFonts w:ascii="Arial" w:hAnsi="Arial" w:eastAsia="Arial" w:cs="Arial"/>
                <w:b/>
                <w:color w:val="000000"/>
                <w:sz w:val="20"/>
                <w:szCs w:val="20"/>
              </w:rPr>
            </w:pPr>
            <w:r>
              <w:rPr>
                <w:rFonts w:eastAsia="Arial" w:cs="Arial" w:ascii="Arial" w:hAnsi="Arial"/>
                <w:b/>
                <w:color w:val="000000"/>
                <w:sz w:val="20"/>
                <w:szCs w:val="20"/>
              </w:rPr>
            </w:r>
          </w:p>
          <w:p>
            <w:pPr>
              <w:pStyle w:val="normal1"/>
              <w:spacing w:lineRule="auto" w:line="240" w:before="60" w:after="60"/>
              <w:jc w:val="both"/>
              <w:rPr>
                <w:rFonts w:ascii="Arial" w:hAnsi="Arial" w:eastAsia="Arial" w:cs="Arial"/>
                <w:b/>
                <w:color w:val="000000"/>
                <w:sz w:val="20"/>
                <w:szCs w:val="20"/>
              </w:rPr>
            </w:pPr>
            <w:r>
              <w:rPr>
                <w:rFonts w:eastAsia="Arial" w:cs="Arial" w:ascii="Arial" w:hAnsi="Arial"/>
                <w:b/>
                <w:color w:val="000000"/>
                <w:sz w:val="20"/>
                <w:szCs w:val="20"/>
              </w:rPr>
            </w:r>
          </w:p>
        </w:tc>
      </w:tr>
    </w:tbl>
    <w:p>
      <w:pPr>
        <w:pStyle w:val="normal1"/>
        <w:spacing w:lineRule="auto" w:line="240" w:before="0" w:after="120"/>
        <w:jc w:val="both"/>
        <w:rPr>
          <w:rFonts w:ascii="Arial" w:hAnsi="Arial" w:eastAsia="Arial" w:cs="Arial"/>
          <w:sz w:val="20"/>
          <w:szCs w:val="20"/>
        </w:rPr>
      </w:pPr>
      <w:r>
        <w:rPr>
          <w:rFonts w:eastAsia="Arial" w:cs="Arial" w:ascii="Arial" w:hAnsi="Arial"/>
          <w:sz w:val="20"/>
          <w:szCs w:val="20"/>
        </w:rPr>
      </w:r>
    </w:p>
    <w:p>
      <w:pPr>
        <w:pStyle w:val="normal1"/>
        <w:spacing w:lineRule="auto" w:line="240" w:before="0" w:after="120"/>
        <w:ind w:hanging="0" w:left="426"/>
        <w:jc w:val="both"/>
        <w:rPr>
          <w:rFonts w:ascii="Arial" w:hAnsi="Arial" w:eastAsia="Arial" w:cs="Arial"/>
          <w:sz w:val="20"/>
          <w:szCs w:val="20"/>
        </w:rPr>
      </w:pPr>
      <w:r>
        <mc:AlternateContent>
          <mc:Choice Requires="wps">
            <w:drawing>
              <wp:anchor behindDoc="0" distT="5080" distB="5080" distL="5080" distR="5080" simplePos="0" locked="0" layoutInCell="1" allowOverlap="1" relativeHeight="6">
                <wp:simplePos x="0" y="0"/>
                <wp:positionH relativeFrom="column">
                  <wp:posOffset>-63500</wp:posOffset>
                </wp:positionH>
                <wp:positionV relativeFrom="paragraph">
                  <wp:posOffset>12700</wp:posOffset>
                </wp:positionV>
                <wp:extent cx="246380" cy="246380"/>
                <wp:effectExtent l="5080" t="5080" r="5080" b="5080"/>
                <wp:wrapNone/>
                <wp:docPr id="2" name="Shape 4"/>
                <a:graphic xmlns:a="http://schemas.openxmlformats.org/drawingml/2006/main">
                  <a:graphicData uri="http://schemas.microsoft.com/office/word/2010/wordprocessingShape">
                    <wps:wsp>
                      <wps:cNvSpPr/>
                      <wps:spPr>
                        <a:xfrm>
                          <a:off x="0" y="0"/>
                          <a:ext cx="246240" cy="246240"/>
                        </a:xfrm>
                        <a:prstGeom prst="rect">
                          <a:avLst/>
                        </a:prstGeom>
                        <a:noFill/>
                        <a:ln w="9525">
                          <a:solidFill>
                            <a:srgbClr val="000000"/>
                          </a:solidFill>
                          <a:miter/>
                        </a:ln>
                      </wps:spPr>
                      <wps:style>
                        <a:lnRef idx="0"/>
                        <a:fillRef idx="0"/>
                        <a:effectRef idx="0"/>
                        <a:fontRef idx="minor"/>
                      </wps:style>
                      <wps:txbx>
                        <w:txbxContent>
                          <w:p>
                            <w:pPr>
                              <w:pStyle w:val="FrameContents"/>
                              <w:spacing w:lineRule="exact" w:line="240" w:before="0" w:after="0"/>
                              <w:ind w:hanging="0" w:left="0" w:right="0"/>
                              <w:jc w:val="left"/>
                              <w:rPr>
                                <w:color w:val="000000"/>
                              </w:rPr>
                            </w:pPr>
                            <w:r>
                              <w:rPr>
                                <w:color w:val="000000"/>
                              </w:rPr>
                            </w:r>
                          </w:p>
                        </w:txbxContent>
                      </wps:txbx>
                      <wps:bodyPr tIns="91440" bIns="91440" anchor="t">
                        <a:noAutofit/>
                      </wps:bodyPr>
                    </wps:wsp>
                  </a:graphicData>
                </a:graphic>
              </wp:anchor>
            </w:drawing>
          </mc:Choice>
          <mc:Fallback>
            <w:pict>
              <v:rect id="shape_0" ID="Shape 4" path="m0,0l-2147483645,0l-2147483645,-2147483646l0,-2147483646xe" stroked="t" o:allowincell="f" style="position:absolute;margin-left:-5pt;margin-top:1pt;width:19.35pt;height:19.35pt;mso-wrap-style:none;v-text-anchor:middle">
                <v:fill o:detectmouseclick="t" on="false"/>
                <v:stroke color="black" weight="9360" joinstyle="miter" endcap="flat"/>
                <v:textbox>
                  <w:txbxContent>
                    <w:p>
                      <w:pPr>
                        <w:pStyle w:val="FrameContents"/>
                        <w:spacing w:lineRule="exact" w:line="240" w:before="0" w:after="0"/>
                        <w:ind w:hanging="0" w:left="0" w:right="0"/>
                        <w:jc w:val="left"/>
                        <w:rPr>
                          <w:color w:val="000000"/>
                        </w:rPr>
                      </w:pPr>
                      <w:r>
                        <w:rPr>
                          <w:color w:val="000000"/>
                        </w:rPr>
                      </w:r>
                    </w:p>
                  </w:txbxContent>
                </v:textbox>
                <w10:wrap type="none"/>
              </v:rect>
            </w:pict>
          </mc:Fallback>
        </mc:AlternateContent>
      </w:r>
      <w:r>
        <w:rPr>
          <w:rFonts w:eastAsia="Arial" w:cs="Arial" w:ascii="Arial" w:hAnsi="Arial"/>
          <w:sz w:val="20"/>
          <w:szCs w:val="20"/>
        </w:rPr>
        <w:t xml:space="preserve">In submitting this application I confirm that the above details are correct and provide consent for the Geochemistry Group and its parent bodies (The Mineralogical Society of the UK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p>
    <w:p>
      <w:pPr>
        <w:pStyle w:val="normal1"/>
        <w:spacing w:lineRule="auto" w:line="240" w:before="0" w:after="120"/>
        <w:ind w:hanging="0" w:left="426"/>
        <w:jc w:val="both"/>
        <w:rPr>
          <w:rFonts w:ascii="Arial" w:hAnsi="Arial" w:eastAsia="Arial" w:cs="Arial"/>
          <w:sz w:val="20"/>
          <w:szCs w:val="20"/>
        </w:rPr>
      </w:pPr>
      <w:r>
        <mc:AlternateContent>
          <mc:Choice Requires="wps">
            <w:drawing>
              <wp:anchor behindDoc="0" distT="5080" distB="5080" distL="5080" distR="5080" simplePos="0" locked="0" layoutInCell="1" allowOverlap="1" relativeHeight="4">
                <wp:simplePos x="0" y="0"/>
                <wp:positionH relativeFrom="column">
                  <wp:posOffset>-63500</wp:posOffset>
                </wp:positionH>
                <wp:positionV relativeFrom="paragraph">
                  <wp:posOffset>12700</wp:posOffset>
                </wp:positionV>
                <wp:extent cx="246380" cy="246380"/>
                <wp:effectExtent l="5080" t="5080" r="5080" b="5080"/>
                <wp:wrapNone/>
                <wp:docPr id="3" name="Shape 2"/>
                <a:graphic xmlns:a="http://schemas.openxmlformats.org/drawingml/2006/main">
                  <a:graphicData uri="http://schemas.microsoft.com/office/word/2010/wordprocessingShape">
                    <wps:wsp>
                      <wps:cNvSpPr/>
                      <wps:spPr>
                        <a:xfrm>
                          <a:off x="0" y="0"/>
                          <a:ext cx="246240" cy="246240"/>
                        </a:xfrm>
                        <a:prstGeom prst="rect">
                          <a:avLst/>
                        </a:prstGeom>
                        <a:noFill/>
                        <a:ln w="9525">
                          <a:solidFill>
                            <a:srgbClr val="000000"/>
                          </a:solidFill>
                          <a:miter/>
                        </a:ln>
                      </wps:spPr>
                      <wps:style>
                        <a:lnRef idx="0"/>
                        <a:fillRef idx="0"/>
                        <a:effectRef idx="0"/>
                        <a:fontRef idx="minor"/>
                      </wps:style>
                      <wps:txbx>
                        <w:txbxContent>
                          <w:p>
                            <w:pPr>
                              <w:pStyle w:val="FrameContents"/>
                              <w:spacing w:lineRule="exact" w:line="240" w:before="0" w:after="0"/>
                              <w:ind w:hanging="0" w:left="0" w:right="0"/>
                              <w:jc w:val="left"/>
                              <w:rPr>
                                <w:color w:val="000000"/>
                              </w:rPr>
                            </w:pPr>
                            <w:r>
                              <w:rPr>
                                <w:color w:val="000000"/>
                              </w:rPr>
                            </w:r>
                          </w:p>
                        </w:txbxContent>
                      </wps:txbx>
                      <wps:bodyPr tIns="91440" bIns="91440" anchor="t">
                        <a:noAutofit/>
                      </wps:bodyPr>
                    </wps:wsp>
                  </a:graphicData>
                </a:graphic>
              </wp:anchor>
            </w:drawing>
          </mc:Choice>
          <mc:Fallback>
            <w:pict>
              <v:rect id="shape_0" ID="Shape 2" path="m0,0l-2147483645,0l-2147483645,-2147483646l0,-2147483646xe" stroked="t" o:allowincell="f" style="position:absolute;margin-left:-5pt;margin-top:1pt;width:19.35pt;height:19.35pt;mso-wrap-style:none;v-text-anchor:middle">
                <v:fill o:detectmouseclick="t" on="false"/>
                <v:stroke color="black" weight="9360" joinstyle="miter" endcap="flat"/>
                <v:textbox>
                  <w:txbxContent>
                    <w:p>
                      <w:pPr>
                        <w:pStyle w:val="FrameContents"/>
                        <w:spacing w:lineRule="exact" w:line="240" w:before="0" w:after="0"/>
                        <w:ind w:hanging="0" w:left="0" w:right="0"/>
                        <w:jc w:val="left"/>
                        <w:rPr>
                          <w:color w:val="000000"/>
                        </w:rPr>
                      </w:pPr>
                      <w:r>
                        <w:rPr>
                          <w:color w:val="000000"/>
                        </w:rPr>
                      </w:r>
                    </w:p>
                  </w:txbxContent>
                </v:textbox>
                <w10:wrap type="none"/>
              </v:rect>
            </w:pict>
          </mc:Fallback>
        </mc:AlternateContent>
      </w:r>
      <w:r>
        <w:rPr>
          <w:rFonts w:eastAsia="Arial" w:cs="Arial" w:ascii="Arial" w:hAnsi="Arial"/>
          <w:sz w:val="20"/>
          <w:szCs w:val="20"/>
        </w:rPr>
        <w:t xml:space="preserve">Please tick this box if you wish to be added to the Geochemistry Group’s mailing list to receive updates on the group’s activities and information relating to other Special Interest Groups. </w:t>
      </w:r>
    </w:p>
    <w:p>
      <w:pPr>
        <w:pStyle w:val="normal1"/>
        <w:spacing w:lineRule="auto" w:line="240" w:before="0" w:after="120"/>
        <w:ind w:hanging="0" w:left="426"/>
        <w:jc w:val="both"/>
        <w:rPr>
          <w:rFonts w:ascii="Arial" w:hAnsi="Arial" w:eastAsia="Arial" w:cs="Arial"/>
          <w:sz w:val="20"/>
          <w:szCs w:val="20"/>
        </w:rPr>
      </w:pPr>
      <w:r>
        <mc:AlternateContent>
          <mc:Choice Requires="wps">
            <w:drawing>
              <wp:anchor behindDoc="0" distT="5080" distB="5080" distL="5080" distR="5080" simplePos="0" locked="0" layoutInCell="1" allowOverlap="1" relativeHeight="2">
                <wp:simplePos x="0" y="0"/>
                <wp:positionH relativeFrom="column">
                  <wp:posOffset>-63500</wp:posOffset>
                </wp:positionH>
                <wp:positionV relativeFrom="paragraph">
                  <wp:posOffset>12700</wp:posOffset>
                </wp:positionV>
                <wp:extent cx="246380" cy="246380"/>
                <wp:effectExtent l="5080" t="5080" r="5080" b="5080"/>
                <wp:wrapNone/>
                <wp:docPr id="4" name="Shape 3"/>
                <a:graphic xmlns:a="http://schemas.openxmlformats.org/drawingml/2006/main">
                  <a:graphicData uri="http://schemas.microsoft.com/office/word/2010/wordprocessingShape">
                    <wps:wsp>
                      <wps:cNvSpPr/>
                      <wps:spPr>
                        <a:xfrm>
                          <a:off x="0" y="0"/>
                          <a:ext cx="246240" cy="246240"/>
                        </a:xfrm>
                        <a:prstGeom prst="rect">
                          <a:avLst/>
                        </a:prstGeom>
                        <a:noFill/>
                        <a:ln w="9525">
                          <a:solidFill>
                            <a:srgbClr val="000000"/>
                          </a:solidFill>
                          <a:miter/>
                        </a:ln>
                      </wps:spPr>
                      <wps:style>
                        <a:lnRef idx="0"/>
                        <a:fillRef idx="0"/>
                        <a:effectRef idx="0"/>
                        <a:fontRef idx="minor"/>
                      </wps:style>
                      <wps:txbx>
                        <w:txbxContent>
                          <w:p>
                            <w:pPr>
                              <w:pStyle w:val="FrameContents"/>
                              <w:spacing w:lineRule="exact" w:line="240" w:before="0" w:after="0"/>
                              <w:ind w:hanging="0" w:left="0" w:right="0"/>
                              <w:jc w:val="left"/>
                              <w:rPr>
                                <w:color w:val="000000"/>
                              </w:rPr>
                            </w:pPr>
                            <w:r>
                              <w:rPr>
                                <w:color w:val="000000"/>
                              </w:rPr>
                            </w:r>
                          </w:p>
                        </w:txbxContent>
                      </wps:txbx>
                      <wps:bodyPr tIns="91440" bIns="91440" anchor="t">
                        <a:noAutofit/>
                      </wps:bodyPr>
                    </wps:wsp>
                  </a:graphicData>
                </a:graphic>
              </wp:anchor>
            </w:drawing>
          </mc:Choice>
          <mc:Fallback>
            <w:pict>
              <v:rect id="shape_0" ID="Shape 3" path="m0,0l-2147483645,0l-2147483645,-2147483646l0,-2147483646xe" stroked="t" o:allowincell="f" style="position:absolute;margin-left:-5pt;margin-top:1pt;width:19.35pt;height:19.35pt;mso-wrap-style:none;v-text-anchor:middle">
                <v:fill o:detectmouseclick="t" on="false"/>
                <v:stroke color="black" weight="9360" joinstyle="miter" endcap="flat"/>
                <v:textbox>
                  <w:txbxContent>
                    <w:p>
                      <w:pPr>
                        <w:pStyle w:val="FrameContents"/>
                        <w:spacing w:lineRule="exact" w:line="240" w:before="0" w:after="0"/>
                        <w:ind w:hanging="0" w:left="0" w:right="0"/>
                        <w:jc w:val="left"/>
                        <w:rPr>
                          <w:color w:val="000000"/>
                        </w:rPr>
                      </w:pPr>
                      <w:r>
                        <w:rPr>
                          <w:color w:val="000000"/>
                        </w:rPr>
                      </w:r>
                    </w:p>
                  </w:txbxContent>
                </v:textbox>
                <w10:wrap type="none"/>
              </v:rect>
            </w:pict>
          </mc:Fallback>
        </mc:AlternateContent>
      </w:r>
      <w:r>
        <w:rPr>
          <w:rFonts w:eastAsia="Arial" w:cs="Arial" w:ascii="Arial" w:hAnsi="Arial"/>
          <w:sz w:val="20"/>
          <w:szCs w:val="20"/>
        </w:rPr>
        <w:t>We ask all applicants to complete an optional equality, diversity &amp; inclusion questionnaire after submission (time to complete: &lt; 2 minutes). The sole purpose is to help us evaluate the impact of our actions in terms of diversity within the Geochemistry Group activities. All replies will be processed anonymously via an online Form. The EDI questions are optional.</w:t>
      </w:r>
    </w:p>
    <w:p>
      <w:pPr>
        <w:pStyle w:val="normal1"/>
        <w:spacing w:lineRule="auto" w:line="360"/>
        <w:jc w:val="both"/>
        <w:rPr>
          <w:rFonts w:ascii="Arial" w:hAnsi="Arial" w:eastAsia="Arial" w:cs="Arial"/>
          <w:sz w:val="20"/>
          <w:szCs w:val="20"/>
        </w:rPr>
      </w:pPr>
      <w:r>
        <w:rPr>
          <w:rFonts w:eastAsia="Arial" w:cs="Arial" w:ascii="Arial" w:hAnsi="Arial"/>
          <w:sz w:val="20"/>
          <w:szCs w:val="20"/>
        </w:rPr>
      </w:r>
    </w:p>
    <w:p>
      <w:pPr>
        <w:pStyle w:val="normal1"/>
        <w:spacing w:lineRule="auto" w:line="360"/>
        <w:jc w:val="both"/>
        <w:rPr>
          <w:rFonts w:ascii="Arial" w:hAnsi="Arial" w:eastAsia="Arial" w:cs="Arial"/>
          <w:sz w:val="20"/>
          <w:szCs w:val="20"/>
        </w:rPr>
      </w:pPr>
      <w:r>
        <w:rPr>
          <w:rFonts w:eastAsia="Arial" w:cs="Arial" w:ascii="Arial" w:hAnsi="Arial"/>
          <w:sz w:val="20"/>
          <w:szCs w:val="20"/>
        </w:rPr>
      </w:r>
    </w:p>
    <w:p>
      <w:pPr>
        <w:pStyle w:val="normal1"/>
        <w:spacing w:lineRule="auto" w:line="360"/>
        <w:jc w:val="both"/>
        <w:rPr>
          <w:rFonts w:ascii="Arial" w:hAnsi="Arial" w:eastAsia="Arial" w:cs="Arial"/>
          <w:sz w:val="20"/>
          <w:szCs w:val="20"/>
        </w:rPr>
      </w:pPr>
      <w:r>
        <w:rPr>
          <w:rFonts w:eastAsia="Arial" w:cs="Arial" w:ascii="Arial" w:hAnsi="Arial"/>
          <w:sz w:val="20"/>
          <w:szCs w:val="20"/>
        </w:rPr>
        <w:t xml:space="preserve">Signed:                                                                                                         Date:                                         </w:t>
      </w:r>
      <w:r>
        <w:br w:type="page"/>
      </w:r>
    </w:p>
    <w:p>
      <w:pPr>
        <w:pStyle w:val="normal1"/>
        <w:spacing w:lineRule="auto" w:line="360" w:before="0" w:after="0"/>
        <w:jc w:val="center"/>
        <w:rPr>
          <w:sz w:val="22"/>
          <w:szCs w:val="22"/>
        </w:rPr>
      </w:pPr>
      <w:r>
        <w:rPr>
          <w:rFonts w:eastAsia="Arial" w:cs="Arial" w:ascii="Arial" w:hAnsi="Arial"/>
          <w:b/>
          <w:sz w:val="22"/>
          <w:szCs w:val="22"/>
        </w:rPr>
        <w:t>Appendix: Eligibility criteria for the Geochemistry Group Meeting Attendance Bursary</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Bursaries will only be awarded to researchers whose research falls within the remit of the Geochemistry Group.</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Bursaries will only be made for events that occur after the application deadline. No retrospective applications will be considered.</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color w:val="000000"/>
          <w:sz w:val="20"/>
          <w:szCs w:val="20"/>
        </w:rPr>
        <w:t>Previous attendance at a GGRiP meeting is required for bursary eligibility. One of the following forms of proof of registrations will be considered:</w:t>
      </w:r>
    </w:p>
    <w:p>
      <w:pPr>
        <w:pStyle w:val="normal1"/>
        <w:numPr>
          <w:ilvl w:val="1"/>
          <w:numId w:val="1"/>
        </w:numPr>
        <w:spacing w:lineRule="auto" w:line="240" w:before="120" w:after="0"/>
        <w:ind w:hanging="360" w:left="1440"/>
        <w:jc w:val="both"/>
        <w:rPr>
          <w:rFonts w:ascii="Arial" w:hAnsi="Arial" w:eastAsia="Arial" w:cs="Arial"/>
          <w:color w:val="000000"/>
          <w:sz w:val="20"/>
          <w:szCs w:val="20"/>
        </w:rPr>
      </w:pPr>
      <w:r>
        <w:rPr>
          <w:rFonts w:eastAsia="Arial" w:cs="Arial" w:ascii="Arial" w:hAnsi="Arial"/>
          <w:color w:val="000000"/>
          <w:sz w:val="20"/>
          <w:szCs w:val="20"/>
        </w:rPr>
        <w:t>Receipt of registration payment</w:t>
      </w:r>
    </w:p>
    <w:p>
      <w:pPr>
        <w:pStyle w:val="normal1"/>
        <w:numPr>
          <w:ilvl w:val="1"/>
          <w:numId w:val="1"/>
        </w:numPr>
        <w:spacing w:lineRule="auto" w:line="240" w:before="120" w:after="0"/>
        <w:ind w:hanging="360" w:left="1440"/>
        <w:jc w:val="both"/>
        <w:rPr>
          <w:rFonts w:ascii="Arial" w:hAnsi="Arial" w:eastAsia="Arial" w:cs="Arial"/>
          <w:color w:val="000000"/>
          <w:sz w:val="20"/>
          <w:szCs w:val="20"/>
        </w:rPr>
      </w:pPr>
      <w:r>
        <w:rPr>
          <w:rFonts w:eastAsia="Arial" w:cs="Arial" w:ascii="Arial" w:hAnsi="Arial"/>
          <w:color w:val="000000"/>
          <w:sz w:val="20"/>
          <w:szCs w:val="20"/>
        </w:rPr>
        <w:t>You can request confirmation of registration from Mineralogical Society staff Kevin Murphy (</w:t>
      </w:r>
      <w:hyperlink r:id="rId5">
        <w:r>
          <w:rPr>
            <w:rStyle w:val="ListLabel29"/>
            <w:rFonts w:eastAsia="Arial" w:cs="Arial" w:ascii="Arial" w:hAnsi="Arial"/>
            <w:color w:val="000000"/>
            <w:sz w:val="20"/>
            <w:szCs w:val="20"/>
            <w:u w:val="single"/>
          </w:rPr>
          <w:t>kevin@minersoc.org</w:t>
        </w:r>
      </w:hyperlink>
      <w:r>
        <w:rPr>
          <w:rFonts w:eastAsia="Arial" w:cs="Arial" w:ascii="Arial" w:hAnsi="Arial"/>
          <w:color w:val="000000"/>
          <w:sz w:val="20"/>
          <w:szCs w:val="20"/>
        </w:rPr>
        <w:t>) or Russell Rajendra (</w:t>
      </w:r>
      <w:hyperlink r:id="rId6">
        <w:r>
          <w:rPr>
            <w:rStyle w:val="ListLabel29"/>
            <w:rFonts w:eastAsia="Arial" w:cs="Arial" w:ascii="Arial" w:hAnsi="Arial"/>
            <w:color w:val="000000"/>
            <w:sz w:val="20"/>
            <w:szCs w:val="20"/>
            <w:u w:val="single"/>
          </w:rPr>
          <w:t>russell@minersoc.org</w:t>
        </w:r>
      </w:hyperlink>
      <w:r>
        <w:rPr>
          <w:rFonts w:eastAsia="Arial" w:cs="Arial" w:ascii="Arial" w:hAnsi="Arial"/>
          <w:color w:val="000000"/>
          <w:sz w:val="20"/>
          <w:szCs w:val="20"/>
        </w:rPr>
        <w:t>)</w:t>
      </w:r>
    </w:p>
    <w:p>
      <w:pPr>
        <w:pStyle w:val="normal1"/>
        <w:numPr>
          <w:ilvl w:val="1"/>
          <w:numId w:val="1"/>
        </w:numPr>
        <w:spacing w:lineRule="auto" w:line="240" w:before="120" w:after="0"/>
        <w:ind w:hanging="360" w:left="1440"/>
        <w:jc w:val="both"/>
        <w:rPr>
          <w:rFonts w:ascii="Arial" w:hAnsi="Arial" w:eastAsia="Arial" w:cs="Arial"/>
          <w:color w:val="000000"/>
          <w:sz w:val="20"/>
          <w:szCs w:val="20"/>
        </w:rPr>
      </w:pPr>
      <w:r>
        <w:rPr>
          <w:rFonts w:eastAsia="Arial" w:cs="Arial" w:ascii="Arial" w:hAnsi="Arial"/>
          <w:color w:val="000000"/>
          <w:sz w:val="20"/>
          <w:szCs w:val="20"/>
        </w:rPr>
        <w:t>Other proof of registration payment such as screenshot of online banking statement will also be considered if other methods are not available</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color w:val="000000"/>
          <w:sz w:val="20"/>
          <w:szCs w:val="20"/>
        </w:rPr>
        <w:t>Request to attend a GGRiP meeting will only be funded under exceptional circumstances to be detailed in the application form and the supervisor/PI support letter.</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color w:val="000000"/>
          <w:sz w:val="20"/>
          <w:szCs w:val="20"/>
        </w:rPr>
        <w:t>Bursaries are only provided to cover, or contribute to, two types of costs:</w:t>
      </w:r>
    </w:p>
    <w:p>
      <w:pPr>
        <w:pStyle w:val="normal1"/>
        <w:numPr>
          <w:ilvl w:val="1"/>
          <w:numId w:val="1"/>
        </w:numPr>
        <w:spacing w:lineRule="auto" w:line="240" w:before="120" w:after="0"/>
        <w:ind w:hanging="360" w:left="1440"/>
        <w:jc w:val="both"/>
        <w:rPr>
          <w:rFonts w:ascii="Arial" w:hAnsi="Arial" w:eastAsia="Arial" w:cs="Arial"/>
          <w:color w:val="000000"/>
          <w:sz w:val="20"/>
          <w:szCs w:val="20"/>
        </w:rPr>
      </w:pPr>
      <w:r>
        <w:rPr>
          <w:rFonts w:eastAsia="Arial" w:cs="Arial" w:ascii="Arial" w:hAnsi="Arial"/>
          <w:color w:val="000000"/>
          <w:sz w:val="20"/>
          <w:szCs w:val="20"/>
        </w:rPr>
        <w:t xml:space="preserve">The cost of travel to the meeting. Conference fees (i.e. abstract and/or registration charges, when attending in-person) and living expenses (i.e. accommodation and sustenance) </w:t>
      </w:r>
      <w:r>
        <w:rPr>
          <w:rFonts w:eastAsia="Arial" w:cs="Arial" w:ascii="Arial" w:hAnsi="Arial"/>
          <w:b/>
          <w:color w:val="000000"/>
          <w:sz w:val="20"/>
          <w:szCs w:val="20"/>
        </w:rPr>
        <w:t>are not</w:t>
      </w:r>
      <w:r>
        <w:rPr>
          <w:rFonts w:eastAsia="Arial" w:cs="Arial" w:ascii="Arial" w:hAnsi="Arial"/>
          <w:color w:val="000000"/>
          <w:sz w:val="20"/>
          <w:szCs w:val="20"/>
        </w:rPr>
        <w:t xml:space="preserve"> covered by the bursary.</w:t>
      </w:r>
    </w:p>
    <w:p>
      <w:pPr>
        <w:pStyle w:val="normal1"/>
        <w:numPr>
          <w:ilvl w:val="1"/>
          <w:numId w:val="1"/>
        </w:numPr>
        <w:spacing w:lineRule="auto" w:line="240" w:before="120" w:after="0"/>
        <w:ind w:hanging="360" w:left="1440"/>
        <w:jc w:val="both"/>
        <w:rPr>
          <w:rFonts w:ascii="Arial" w:hAnsi="Arial" w:eastAsia="Arial" w:cs="Arial"/>
          <w:color w:val="000000"/>
          <w:sz w:val="20"/>
          <w:szCs w:val="20"/>
        </w:rPr>
      </w:pPr>
      <w:r>
        <w:rPr>
          <w:rFonts w:eastAsia="Arial" w:cs="Arial" w:ascii="Arial" w:hAnsi="Arial"/>
          <w:color w:val="000000"/>
          <w:sz w:val="20"/>
          <w:szCs w:val="20"/>
        </w:rPr>
        <w:t xml:space="preserve">Registration and abstract cost to give an online presentation at any conference allowing such format. </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color w:val="000000"/>
          <w:sz w:val="20"/>
          <w:szCs w:val="20"/>
        </w:rPr>
        <w:t xml:space="preserve">The maximum sum available for any individual application will be £500. </w:t>
      </w:r>
      <w:r>
        <w:rPr>
          <w:rFonts w:eastAsia="Arial" w:cs="Arial" w:ascii="Arial" w:hAnsi="Arial"/>
          <w:sz w:val="20"/>
          <w:szCs w:val="20"/>
        </w:rPr>
        <w:t>Even in the case of currency exchange rate fluctuations, £500 is the maximum amount reimbursed by the Geochemistry Group</w:t>
      </w:r>
      <w:r>
        <w:rPr>
          <w:rFonts w:eastAsia="Arial" w:cs="Arial" w:ascii="Arial" w:hAnsi="Arial"/>
        </w:rPr>
        <w:t>.</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color w:val="000000"/>
          <w:sz w:val="20"/>
          <w:szCs w:val="20"/>
        </w:rPr>
        <w:t>Only the actual cost of travel or online registration will be reimbursed, even if this is less than the sum awarded.</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sz w:val="20"/>
          <w:szCs w:val="20"/>
        </w:rPr>
        <w:t>Reimbursement can only be made into the same bank account that originally purchased the claimed expenses (i.e. no payment will be made to a personal account if the expenses were paid up front by an institution).</w:t>
      </w:r>
    </w:p>
    <w:p>
      <w:pPr>
        <w:pStyle w:val="normal1"/>
        <w:numPr>
          <w:ilvl w:val="0"/>
          <w:numId w:val="1"/>
        </w:numPr>
        <w:spacing w:lineRule="auto" w:line="240" w:before="120" w:after="0"/>
        <w:ind w:hanging="284" w:left="284"/>
        <w:jc w:val="both"/>
        <w:rPr>
          <w:rFonts w:ascii="Arial" w:hAnsi="Arial" w:eastAsia="Arial" w:cs="Arial"/>
          <w:color w:val="000000"/>
          <w:sz w:val="20"/>
          <w:szCs w:val="20"/>
        </w:rPr>
      </w:pPr>
      <w:r>
        <w:rPr>
          <w:rFonts w:eastAsia="Arial" w:cs="Arial" w:ascii="Arial" w:hAnsi="Arial"/>
          <w:color w:val="000000"/>
          <w:sz w:val="20"/>
          <w:szCs w:val="20"/>
        </w:rPr>
        <w:t>Abstract costs will only be reimbursed in case of an online presentation.</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 xml:space="preserve">Recipients are required to submit a claim form for the expenses incurred accompanied by receipts and/or evidence of attendance at the meeting. </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Recipients are required to submit a report, in the form of a blog post, within three months of attendance of the meeting for publication on the Group’s website. Reports received after this period will not be funded.</w:t>
      </w:r>
    </w:p>
    <w:p>
      <w:pPr>
        <w:pStyle w:val="normal1"/>
        <w:numPr>
          <w:ilvl w:val="0"/>
          <w:numId w:val="1"/>
        </w:numPr>
        <w:spacing w:lineRule="auto" w:line="240" w:before="120" w:after="0"/>
        <w:ind w:hanging="284" w:left="284"/>
        <w:rPr>
          <w:rFonts w:ascii="Arial" w:hAnsi="Arial" w:eastAsia="Arial" w:cs="Arial"/>
          <w:sz w:val="20"/>
          <w:szCs w:val="20"/>
        </w:rPr>
      </w:pPr>
      <w:r>
        <w:rPr>
          <w:rFonts w:eastAsia="Arial" w:cs="Arial" w:ascii="Arial" w:hAnsi="Arial"/>
          <w:sz w:val="20"/>
          <w:szCs w:val="20"/>
        </w:rPr>
        <w:t>Preference will be given to researchers who are self or institutionally funded.</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Preference will be given to researchers who are members of the Geological Society or Mineralogical Society.</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 xml:space="preserve">Preference will be given to </w:t>
      </w:r>
      <w:r>
        <w:rPr>
          <w:rFonts w:eastAsia="Arial" w:cs="Arial" w:ascii="Arial" w:hAnsi="Arial"/>
          <w:sz w:val="20"/>
          <w:szCs w:val="20"/>
        </w:rPr>
        <w:t>researchers who have presented (talk or poster) at a previous GGRiP meeting</w:t>
      </w:r>
      <w:r>
        <w:rPr>
          <w:rFonts w:eastAsia="Arial" w:cs="Arial" w:ascii="Arial" w:hAnsi="Arial"/>
          <w:sz w:val="20"/>
          <w:szCs w:val="20"/>
        </w:rPr>
        <w:t>.</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Preference will be given to postgraduate students in their second or third year of study.</w:t>
      </w:r>
    </w:p>
    <w:p>
      <w:pPr>
        <w:pStyle w:val="normal1"/>
        <w:numPr>
          <w:ilvl w:val="0"/>
          <w:numId w:val="1"/>
        </w:numPr>
        <w:spacing w:lineRule="auto" w:line="240" w:before="120" w:after="0"/>
        <w:ind w:hanging="284" w:left="284"/>
        <w:jc w:val="both"/>
        <w:rPr>
          <w:rFonts w:ascii="Arial" w:hAnsi="Arial" w:eastAsia="Arial" w:cs="Arial"/>
          <w:sz w:val="20"/>
          <w:szCs w:val="20"/>
        </w:rPr>
      </w:pPr>
      <w:r>
        <w:rPr>
          <w:rFonts w:eastAsia="Arial" w:cs="Arial" w:ascii="Arial" w:hAnsi="Arial"/>
          <w:sz w:val="20"/>
          <w:szCs w:val="20"/>
        </w:rPr>
        <w:t xml:space="preserve">Preference will be given to postgraduate students </w:t>
      </w:r>
      <w:r>
        <w:rPr>
          <w:rFonts w:eastAsia="Arial" w:cs="Arial" w:ascii="Arial" w:hAnsi="Arial"/>
          <w:sz w:val="20"/>
          <w:szCs w:val="20"/>
        </w:rPr>
        <w:t>who have not previously attended an international conference</w:t>
      </w:r>
      <w:r>
        <w:rPr>
          <w:rFonts w:eastAsia="Arial" w:cs="Arial" w:ascii="Arial" w:hAnsi="Arial"/>
          <w:sz w:val="20"/>
          <w:szCs w:val="20"/>
        </w:rPr>
        <w:t>.</w:t>
      </w:r>
    </w:p>
    <w:p>
      <w:pPr>
        <w:pStyle w:val="normal1"/>
        <w:numPr>
          <w:ilvl w:val="0"/>
          <w:numId w:val="1"/>
        </w:numPr>
        <w:spacing w:lineRule="auto" w:line="240" w:before="120" w:after="0"/>
        <w:ind w:hanging="284" w:left="284"/>
        <w:jc w:val="both"/>
        <w:rPr>
          <w:rFonts w:ascii="Arial" w:hAnsi="Arial" w:eastAsia="Arial" w:cs="Arial"/>
          <w:sz w:val="20"/>
          <w:szCs w:val="20"/>
          <w:u w:val="none"/>
        </w:rPr>
      </w:pPr>
      <w:r>
        <w:rPr>
          <w:rFonts w:eastAsia="Arial" w:cs="Arial" w:ascii="Arial" w:hAnsi="Arial"/>
          <w:sz w:val="20"/>
          <w:szCs w:val="20"/>
        </w:rPr>
        <w:t>It is possible to apply for a Meeting Attendance Bursary for a second time. However, applicants must be members of the Geological Society or Mineralogical Society and preference will be given to first time applicants.</w:t>
      </w:r>
    </w:p>
    <w:sectPr>
      <w:footerReference w:type="even" r:id="rId7"/>
      <w:footerReference w:type="default" r:id="rId8"/>
      <w:footerReference w:type="first" r:id="rId9"/>
      <w:type w:val="nextPage"/>
      <w:pgSz w:w="11906" w:h="16838"/>
      <w:pgMar w:left="1134" w:right="1134" w:gutter="0" w:header="0" w:top="1134" w:footer="709" w:bottom="1134"/>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ourier">
    <w:altName w:val="Courier New"/>
    <w:charset w:val="01"/>
    <w:family w:val="roman"/>
    <w:pitch w:val="variable"/>
  </w:font>
  <w:font w:name="Lucida Grande">
    <w:charset w:val="01"/>
    <w:family w:val="roman"/>
    <w:pitch w:val="variable"/>
  </w:font>
  <w:font w:name="Liberation Sans">
    <w:altName w:val="Arial"/>
    <w:charset w:val="01"/>
    <w:family w:val="roman"/>
    <w:pitch w:val="variable"/>
  </w:font>
  <w:font w:name="Times">
    <w:altName w:val="Times New Roman"/>
    <w:charset w:val="01"/>
    <w:family w:val="roman"/>
    <w:pitch w:val="variable"/>
  </w:font>
  <w:font w:name="Courier New">
    <w:charset w:val="01"/>
    <w:family w:val="roman"/>
    <w:pitch w:val="variable"/>
  </w:font>
  <w:font w:name="Tahoma">
    <w:charset w:val="01"/>
    <w:family w:val="roman"/>
    <w:pitch w:val="variable"/>
  </w:font>
  <w:font w:name="Georgia">
    <w:charset w:val="01"/>
    <w:family w:val="roman"/>
    <w:pitch w:val="variable"/>
  </w:font>
  <w:font w:name="Arial">
    <w:charset w:val="01"/>
    <w:family w:val="roman"/>
    <w:pitch w:val="variable"/>
  </w:font>
  <w:font w:name="Arimo">
    <w:altName w:val="arial"/>
    <w:charset w:val="01"/>
    <w:family w:val="roman"/>
    <w:pitch w:val="variable"/>
  </w:font>
  <w:font w:name="Noto Sans Symbols">
    <w:charset w:val="01"/>
    <w:family w:val="swiss"/>
    <w:pitch w:val="variable"/>
  </w:font>
  <w:font w:name="Courier New">
    <w:charset w:val="01"/>
    <w:family w:val="modern"/>
    <w:pitch w:val="fixed"/>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513" w:leader="none"/>
        <w:tab w:val="right" w:pos="9026" w:leader="none"/>
      </w:tabs>
      <w:spacing w:lineRule="auto" w:line="240" w:before="0" w:after="0"/>
      <w:ind w:hanging="0" w:left="0" w:right="0"/>
      <w:jc w:val="both"/>
      <w:rPr>
        <w:rFonts w:ascii="Arial" w:hAnsi="Arial" w:eastAsia="Arial" w:cs="Arial"/>
        <w:b w:val="false"/>
        <w:i/>
        <w:i/>
        <w:caps w:val="false"/>
        <w:smallCaps w:val="false"/>
        <w:strike w:val="false"/>
        <w:dstrike w:val="false"/>
        <w:color w:val="000000"/>
        <w:position w:val="0"/>
        <w:sz w:val="24"/>
        <w:sz w:val="24"/>
        <w:szCs w:val="24"/>
        <w:u w:val="none"/>
        <w:shd w:fill="auto" w:val="clear"/>
        <w:vertAlign w:val="baseline"/>
      </w:rPr>
    </w:pPr>
    <w:r>
      <w:rPr>
        <w:rFonts w:eastAsia="Arial" w:cs="Arial" w:ascii="Arial" w:hAnsi="Arial"/>
        <w:b w:val="false"/>
        <w:i/>
        <w:caps w:val="false"/>
        <w:smallCaps w:val="false"/>
        <w:strike w:val="false"/>
        <w:dstrike w:val="false"/>
        <w:color w:val="000000"/>
        <w:position w:val="0"/>
        <w:sz w:val="24"/>
        <w:sz w:val="24"/>
        <w:szCs w:val="24"/>
        <w:u w:val="none"/>
        <w:shd w:fill="auto" w:val="clear"/>
        <w:vertAlign w:val="baseline"/>
      </w:rPr>
      <w:t>Form last updated 02/03/2023</w:t>
    </w:r>
  </w:p>
  <w:p>
    <w:pPr>
      <w:pStyle w:val="normal1"/>
      <w:keepNext w:val="false"/>
      <w:keepLines w:val="false"/>
      <w:pageBreakBefore w:val="false"/>
      <w:widowControl/>
      <w:shd w:val="clear" w:fill="auto"/>
      <w:tabs>
        <w:tab w:val="clear" w:pos="720"/>
        <w:tab w:val="center" w:pos="4513" w:leader="none"/>
        <w:tab w:val="left" w:pos="5636" w:leader="none"/>
        <w:tab w:val="right" w:pos="9026" w:leader="none"/>
      </w:tabs>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
    <w:lvl w:ilvl="0">
      <w:numFmt w:val="bullet"/>
      <w:lvlText w:val="-"/>
      <w:lvlJc w:val="left"/>
      <w:pPr>
        <w:tabs>
          <w:tab w:val="num" w:pos="0"/>
        </w:tabs>
        <w:ind w:left="1080" w:hanging="360"/>
      </w:pPr>
      <w:rPr>
        <w:rFonts w:ascii="Arial" w:hAnsi="Arial" w:cs="Aria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Noto Sans Symbols" w:hAnsi="Noto Sans Symbols" w:cs="Noto Sans Symbols" w:hint="default"/>
      </w:rPr>
    </w:lvl>
    <w:lvl w:ilvl="3">
      <w:start w:val="1"/>
      <w:numFmt w:val="bullet"/>
      <w:lvlText w:val="●"/>
      <w:lvlJc w:val="left"/>
      <w:pPr>
        <w:tabs>
          <w:tab w:val="num" w:pos="0"/>
        </w:tabs>
        <w:ind w:left="3240" w:hanging="360"/>
      </w:pPr>
      <w:rPr>
        <w:rFonts w:ascii="Noto Sans Symbols" w:hAnsi="Noto Sans Symbols" w:cs="Noto Sans Symbols"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Noto Sans Symbols" w:hAnsi="Noto Sans Symbols" w:cs="Noto Sans Symbols" w:hint="default"/>
      </w:rPr>
    </w:lvl>
    <w:lvl w:ilvl="6">
      <w:start w:val="1"/>
      <w:numFmt w:val="bullet"/>
      <w:lvlText w:val="●"/>
      <w:lvlJc w:val="left"/>
      <w:pPr>
        <w:tabs>
          <w:tab w:val="num" w:pos="0"/>
        </w:tabs>
        <w:ind w:left="5400" w:hanging="360"/>
      </w:pPr>
      <w:rPr>
        <w:rFonts w:ascii="Noto Sans Symbols" w:hAnsi="Noto Sans Symbols" w:cs="Noto Sans Symbols"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Noto Sans Symbols" w:hAnsi="Noto Sans Symbols" w:cs="Noto Sans Symbol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sz w:val="24"/>
        <w:szCs w:val="24"/>
        <w:lang w:val="en-GB" w:eastAsia="zh-CN" w:bidi="hi-IN"/>
      </w:rPr>
    </w:rPrDefault>
    <w:pPrDefault>
      <w:pPr>
        <w:suppressAutoHyphens w:val="true"/>
      </w:pPr>
    </w:pPrDefault>
  </w:docDefaults>
  <w:style w:type="paragraph" w:styleId="Normal" w:default="1">
    <w:name w:val="Normal"/>
    <w:qFormat/>
    <w:pPr>
      <w:widowControl/>
      <w:suppressAutoHyphens w:val="true"/>
      <w:bidi w:val="0"/>
      <w:spacing w:before="0" w:after="0"/>
      <w:jc w:val="left"/>
    </w:pPr>
    <w:rPr>
      <w:rFonts w:ascii="Times New Roman" w:hAnsi="Times New Roman" w:eastAsia="Noto Serif CJK SC" w:cs="Noto Sans Devanagari"/>
      <w:color w:val="auto"/>
      <w:kern w:val="0"/>
      <w:sz w:val="24"/>
      <w:szCs w:val="24"/>
      <w:lang w:val="en-GB"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character" w:styleId="DefaultParagraphFont" w:default="1">
    <w:name w:val="Default Paragraph Font"/>
    <w:uiPriority w:val="1"/>
    <w:semiHidden/>
    <w:unhideWhenUsed/>
    <w:qFormat/>
    <w:rPr/>
  </w:style>
  <w:style w:type="character" w:styleId="HeaderChar" w:customStyle="1">
    <w:name w:val="Header Char"/>
    <w:link w:val="Header"/>
    <w:uiPriority w:val="99"/>
    <w:semiHidden/>
    <w:qFormat/>
    <w:rPr>
      <w:sz w:val="24"/>
      <w:szCs w:val="24"/>
      <w:lang w:eastAsia="en-GB"/>
    </w:rPr>
  </w:style>
  <w:style w:type="character" w:styleId="Hyperlink">
    <w:name w:val="Hyperlink"/>
    <w:uiPriority w:val="99"/>
    <w:rsid w:val="002d3896"/>
    <w:rPr>
      <w:color w:val="0000FF"/>
      <w:u w:val="single"/>
    </w:rPr>
  </w:style>
  <w:style w:type="character" w:styleId="HTMLPreformattedChar" w:customStyle="1">
    <w:name w:val="HTML Preformatted Char"/>
    <w:link w:val="HTMLPreformatted"/>
    <w:uiPriority w:val="99"/>
    <w:semiHidden/>
    <w:qFormat/>
    <w:rPr>
      <w:rFonts w:ascii="Courier" w:hAnsi="Courier"/>
      <w:lang w:eastAsia="en-GB"/>
    </w:rPr>
  </w:style>
  <w:style w:type="character" w:styleId="DocumentMapChar" w:customStyle="1">
    <w:name w:val="Document Map Char"/>
    <w:link w:val="DocumentMap"/>
    <w:uiPriority w:val="99"/>
    <w:semiHidden/>
    <w:qFormat/>
    <w:rPr>
      <w:rFonts w:ascii="Lucida Grande" w:hAnsi="Lucida Grande" w:cs="Lucida Grande"/>
      <w:sz w:val="24"/>
      <w:szCs w:val="24"/>
      <w:lang w:eastAsia="en-GB"/>
    </w:rPr>
  </w:style>
  <w:style w:type="character" w:styleId="FollowedHyperlink">
    <w:name w:val="FollowedHyperlink"/>
    <w:uiPriority w:val="99"/>
    <w:semiHidden/>
    <w:unhideWhenUsed/>
    <w:rsid w:val="000667ed"/>
    <w:rPr>
      <w:color w:val="800080"/>
      <w:u w:val="single"/>
    </w:rPr>
  </w:style>
  <w:style w:type="character" w:styleId="BalloonTextChar" w:customStyle="1">
    <w:name w:val="Balloon Text Char"/>
    <w:basedOn w:val="DefaultParagraphFont"/>
    <w:link w:val="BalloonText"/>
    <w:uiPriority w:val="99"/>
    <w:semiHidden/>
    <w:qFormat/>
    <w:rsid w:val="00b90c05"/>
    <w:rPr>
      <w:sz w:val="18"/>
      <w:szCs w:val="18"/>
    </w:rPr>
  </w:style>
  <w:style w:type="character" w:styleId="annotationreference">
    <w:name w:val="annotation reference"/>
    <w:basedOn w:val="DefaultParagraphFont"/>
    <w:uiPriority w:val="99"/>
    <w:semiHidden/>
    <w:unhideWhenUsed/>
    <w:qFormat/>
    <w:rsid w:val="00fd47d2"/>
    <w:rPr>
      <w:sz w:val="16"/>
      <w:szCs w:val="16"/>
    </w:rPr>
  </w:style>
  <w:style w:type="character" w:styleId="CommentTextChar" w:customStyle="1">
    <w:name w:val="Comment Text Char"/>
    <w:basedOn w:val="DefaultParagraphFont"/>
    <w:link w:val="AnnotationText"/>
    <w:uiPriority w:val="99"/>
    <w:qFormat/>
    <w:rsid w:val="00fd47d2"/>
    <w:rPr/>
  </w:style>
  <w:style w:type="character" w:styleId="CommentSubjectChar" w:customStyle="1">
    <w:name w:val="Comment Subject Char"/>
    <w:basedOn w:val="CommentTextChar"/>
    <w:link w:val="annotationsubject"/>
    <w:uiPriority w:val="99"/>
    <w:semiHidden/>
    <w:qFormat/>
    <w:rsid w:val="00fd47d2"/>
    <w:rPr>
      <w:b/>
      <w:bCs/>
    </w:rPr>
  </w:style>
  <w:style w:type="character" w:styleId="FooterChar" w:customStyle="1">
    <w:name w:val="Footer Char"/>
    <w:basedOn w:val="DefaultParagraphFont"/>
    <w:link w:val="Footer"/>
    <w:uiPriority w:val="99"/>
    <w:qFormat/>
    <w:rsid w:val="002e6456"/>
    <w:rPr>
      <w:sz w:val="24"/>
      <w:szCs w:val="24"/>
    </w:rPr>
  </w:style>
  <w:style w:type="character" w:styleId="UnresolvedMention">
    <w:name w:val="Unresolved Mention"/>
    <w:basedOn w:val="DefaultParagraphFont"/>
    <w:uiPriority w:val="99"/>
    <w:semiHidden/>
    <w:unhideWhenUsed/>
    <w:qFormat/>
    <w:rsid w:val="00fb3cd4"/>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before="0" w:after="0"/>
      <w:jc w:val="left"/>
    </w:pPr>
    <w:rPr>
      <w:rFonts w:ascii="Times New Roman" w:hAnsi="Times New Roman" w:eastAsia="Noto Serif CJK SC" w:cs="Noto Sans Devanagari"/>
      <w:color w:val="auto"/>
      <w:kern w:val="0"/>
      <w:sz w:val="24"/>
      <w:szCs w:val="24"/>
      <w:lang w:val="en-GB"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HeaderandFooter">
    <w:name w:val="Header and Footer"/>
    <w:basedOn w:val="Normal"/>
    <w:qFormat/>
    <w:pPr/>
    <w:rPr/>
  </w:style>
  <w:style w:type="paragraph" w:styleId="Header">
    <w:name w:val="Header"/>
    <w:basedOn w:val="normal1"/>
    <w:link w:val="HeaderChar"/>
    <w:uiPriority w:val="99"/>
    <w:rsid w:val="002d3896"/>
    <w:pPr>
      <w:tabs>
        <w:tab w:val="clear" w:pos="720"/>
        <w:tab w:val="center" w:pos="4252" w:leader="none"/>
        <w:tab w:val="right" w:pos="8504" w:leader="none"/>
      </w:tabs>
    </w:pPr>
    <w:rPr>
      <w:rFonts w:ascii="Times" w:hAnsi="Times" w:cs="Times"/>
      <w:lang w:val="en-US"/>
    </w:rPr>
  </w:style>
  <w:style w:type="paragraph" w:styleId="HTMLPreformatted">
    <w:name w:val="HTML Preformatted"/>
    <w:basedOn w:val="normal1"/>
    <w:link w:val="HTMLPreformattedChar"/>
    <w:uiPriority w:val="99"/>
    <w:qFormat/>
    <w:rsid w:val="00123bc8"/>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cs="Courier New"/>
      <w:sz w:val="20"/>
      <w:szCs w:val="20"/>
      <w:lang w:val="en-US" w:eastAsia="en-US"/>
    </w:rPr>
  </w:style>
  <w:style w:type="paragraph" w:styleId="DocumentMap">
    <w:name w:val="Document Map"/>
    <w:basedOn w:val="normal1"/>
    <w:link w:val="DocumentMapChar"/>
    <w:uiPriority w:val="99"/>
    <w:semiHidden/>
    <w:qFormat/>
    <w:rsid w:val="00853650"/>
    <w:pPr>
      <w:shd w:val="clear" w:color="auto" w:fill="000080"/>
    </w:pPr>
    <w:rPr>
      <w:rFonts w:ascii="Tahoma" w:hAnsi="Tahoma" w:cs="Tahoma"/>
    </w:rPr>
  </w:style>
  <w:style w:type="paragraph" w:styleId="BalloonText">
    <w:name w:val="Balloon Text"/>
    <w:basedOn w:val="normal1"/>
    <w:link w:val="BalloonTextChar"/>
    <w:uiPriority w:val="99"/>
    <w:semiHidden/>
    <w:unhideWhenUsed/>
    <w:qFormat/>
    <w:rsid w:val="00b90c05"/>
    <w:pPr/>
    <w:rPr>
      <w:sz w:val="18"/>
      <w:szCs w:val="18"/>
    </w:rPr>
  </w:style>
  <w:style w:type="paragraph" w:styleId="Revision">
    <w:name w:val="Revision"/>
    <w:uiPriority w:val="71"/>
    <w:qFormat/>
    <w:rsid w:val="00fd47d2"/>
    <w:pPr>
      <w:widowControl/>
      <w:suppressAutoHyphens w:val="true"/>
      <w:bidi w:val="0"/>
      <w:spacing w:before="0" w:after="0"/>
      <w:jc w:val="left"/>
    </w:pPr>
    <w:rPr>
      <w:rFonts w:ascii="Times New Roman" w:hAnsi="Times New Roman" w:eastAsia="Noto Serif CJK SC" w:cs="Noto Sans Devanagari"/>
      <w:color w:val="auto"/>
      <w:kern w:val="0"/>
      <w:sz w:val="24"/>
      <w:szCs w:val="24"/>
      <w:lang w:val="en-GB" w:eastAsia="zh-CN" w:bidi="hi-IN"/>
    </w:rPr>
  </w:style>
  <w:style w:type="paragraph" w:styleId="AnnotationText">
    <w:name w:val="Annotation Text"/>
    <w:basedOn w:val="normal1"/>
    <w:link w:val="CommentTextChar"/>
    <w:uiPriority w:val="99"/>
    <w:unhideWhenUsed/>
    <w:rsid w:val="00fd47d2"/>
    <w:pPr/>
    <w:rPr>
      <w:sz w:val="20"/>
      <w:szCs w:val="20"/>
    </w:rPr>
  </w:style>
  <w:style w:type="paragraph" w:styleId="annotationsubject">
    <w:name w:val="annotation subject"/>
    <w:basedOn w:val="AnnotationText"/>
    <w:next w:val="AnnotationText"/>
    <w:link w:val="CommentSubjectChar"/>
    <w:uiPriority w:val="99"/>
    <w:semiHidden/>
    <w:unhideWhenUsed/>
    <w:qFormat/>
    <w:rsid w:val="00fd47d2"/>
    <w:pPr/>
    <w:rPr>
      <w:b/>
      <w:bCs/>
    </w:rPr>
  </w:style>
  <w:style w:type="paragraph" w:styleId="ListParagraph">
    <w:name w:val="List Paragraph"/>
    <w:basedOn w:val="normal1"/>
    <w:uiPriority w:val="72"/>
    <w:qFormat/>
    <w:rsid w:val="007f780d"/>
    <w:pPr>
      <w:spacing w:before="0" w:after="0"/>
      <w:ind w:left="720"/>
      <w:contextualSpacing/>
    </w:pPr>
    <w:rPr/>
  </w:style>
  <w:style w:type="paragraph" w:styleId="Footer">
    <w:name w:val="Footer"/>
    <w:basedOn w:val="normal1"/>
    <w:link w:val="FooterChar"/>
    <w:uiPriority w:val="99"/>
    <w:unhideWhenUsed/>
    <w:rsid w:val="002e6456"/>
    <w:pPr>
      <w:tabs>
        <w:tab w:val="clear" w:pos="720"/>
        <w:tab w:val="center" w:pos="4513" w:leader="none"/>
        <w:tab w:val="right" w:pos="9026" w:leader="none"/>
      </w:tabs>
    </w:pPr>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Table Normal"/>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99"/>
    <w:rsid w:val="00db5a8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mlb63@cam.ac.uk" TargetMode="External"/><Relationship Id="rId4" Type="http://schemas.openxmlformats.org/officeDocument/2006/relationships/hyperlink" Target="http://www.geochemistry.group/" TargetMode="External"/><Relationship Id="rId5" Type="http://schemas.openxmlformats.org/officeDocument/2006/relationships/hyperlink" Target="mailto:kevin@minersoc.org" TargetMode="External"/><Relationship Id="rId6" Type="http://schemas.openxmlformats.org/officeDocument/2006/relationships/hyperlink" Target="mailto:russell@minersoc.org" TargetMode="Externa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hotu90cDq88VpFCgZMWx0BWhY7g==">CgMxLjA4AHIhMTFVLUFrbEZUcGFvUlN1YkxRNDZiUGpERFNmNGh2aFFf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213</TotalTime>
  <Application>LibreOffice/24.2.7.2$Linux_X86_64 LibreOffice_project/420$Build-2</Application>
  <AppVersion>15.0000</AppVersion>
  <Pages>5</Pages>
  <Words>1239</Words>
  <Characters>6873</Characters>
  <CharactersWithSpaces>8152</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2024-05-28T17:04:00Z</dcterms:created>
  <dc:creator>Kathryn Linge</dc:creator>
  <dc:description/>
  <dc:language>en-GB</dc:language>
  <cp:lastModifiedBy/>
  <dcterms:modified xsi:type="dcterms:W3CDTF">2025-10-03T16:16:56Z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